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19FA" w14:textId="77777777" w:rsidR="00AD7D49" w:rsidRDefault="00444B08" w:rsidP="009F129F">
      <w:pPr>
        <w:jc w:val="center"/>
        <w:rPr>
          <w:b/>
          <w:color w:val="6B2E9A"/>
          <w:sz w:val="32"/>
        </w:rPr>
      </w:pPr>
      <w:r w:rsidRPr="007235D0">
        <w:rPr>
          <w:b/>
          <w:color w:val="6B2E9A"/>
          <w:sz w:val="32"/>
        </w:rPr>
        <w:t xml:space="preserve">Universal credit </w:t>
      </w:r>
    </w:p>
    <w:p w14:paraId="2D950883" w14:textId="506BD6C2" w:rsidR="007B19F4" w:rsidRPr="007235D0" w:rsidRDefault="00AD7D49" w:rsidP="009F129F">
      <w:pPr>
        <w:jc w:val="center"/>
        <w:rPr>
          <w:b/>
          <w:color w:val="6B2E9A"/>
          <w:sz w:val="32"/>
        </w:rPr>
      </w:pPr>
      <w:r>
        <w:rPr>
          <w:b/>
          <w:color w:val="6B2E9A"/>
          <w:sz w:val="32"/>
        </w:rPr>
        <w:t>A briefing from the UK Women’s Budget Group</w:t>
      </w:r>
    </w:p>
    <w:p w14:paraId="0712D881" w14:textId="31E07249" w:rsidR="00AD7D49" w:rsidRDefault="00AD7D49" w:rsidP="009062AD">
      <w:r>
        <w:t xml:space="preserve">The Chancellor has announced that the waiting time for Universal Credit payments will be cut from six weeks to </w:t>
      </w:r>
      <w:r w:rsidR="00D222DB">
        <w:t>just over a month</w:t>
      </w:r>
      <w:r>
        <w:t xml:space="preserve">. This is welcome news, but fails to address the </w:t>
      </w:r>
      <w:r w:rsidR="00952EB7">
        <w:t xml:space="preserve">many other </w:t>
      </w:r>
      <w:r>
        <w:t xml:space="preserve">significant problems that exist with Universal Credit. </w:t>
      </w:r>
    </w:p>
    <w:p w14:paraId="507B634A" w14:textId="4662ABC1" w:rsidR="00952EB7" w:rsidRDefault="001216FC" w:rsidP="009062AD">
      <w:r>
        <w:t xml:space="preserve">This </w:t>
      </w:r>
      <w:r w:rsidR="002D2C96">
        <w:t xml:space="preserve">briefing is an overview of the </w:t>
      </w:r>
      <w:r w:rsidR="00AD7D49">
        <w:t>gender impact of the Universal Credit system</w:t>
      </w:r>
      <w:r w:rsidR="003C27E7">
        <w:t xml:space="preserve">. </w:t>
      </w:r>
      <w:r w:rsidR="00187EDF">
        <w:t>UC was introduced in 2013 and is being rolled out across the country</w:t>
      </w:r>
      <w:r w:rsidR="009062AD">
        <w:t xml:space="preserve"> in stages</w:t>
      </w:r>
      <w:r w:rsidR="00187EDF">
        <w:t xml:space="preserve"> until </w:t>
      </w:r>
      <w:r w:rsidR="00440FBD">
        <w:t xml:space="preserve">full implementation in </w:t>
      </w:r>
      <w:r w:rsidR="00187EDF">
        <w:t>2022.</w:t>
      </w:r>
      <w:r w:rsidR="003C27E7">
        <w:t xml:space="preserve"> </w:t>
      </w:r>
      <w:r w:rsidR="009062AD">
        <w:t xml:space="preserve">It replaces six </w:t>
      </w:r>
      <w:r w:rsidR="00952EB7">
        <w:t xml:space="preserve">means-tested </w:t>
      </w:r>
      <w:r w:rsidR="009062AD">
        <w:t>benefits</w:t>
      </w:r>
      <w:r w:rsidR="00952EB7">
        <w:t xml:space="preserve"> and tax credits with</w:t>
      </w:r>
      <w:r w:rsidR="007235D0">
        <w:t xml:space="preserve"> one single monthly </w:t>
      </w:r>
      <w:r w:rsidR="00952EB7">
        <w:t xml:space="preserve">means-tested </w:t>
      </w:r>
      <w:r w:rsidR="007235D0">
        <w:t xml:space="preserve">payment. </w:t>
      </w:r>
    </w:p>
    <w:p w14:paraId="018A5AA6" w14:textId="32360202" w:rsidR="00952EB7" w:rsidRDefault="00727298" w:rsidP="009062AD">
      <w:r>
        <w:t xml:space="preserve">The main goals in introducing UC </w:t>
      </w:r>
      <w:r w:rsidR="00D24A95">
        <w:t>were</w:t>
      </w:r>
      <w:r>
        <w:t xml:space="preserve"> to simplify the benefit</w:t>
      </w:r>
      <w:r w:rsidR="00952EB7">
        <w:t>s</w:t>
      </w:r>
      <w:r>
        <w:t xml:space="preserve"> system and ‘to make work pay</w:t>
      </w:r>
      <w:r w:rsidR="009F129F">
        <w:t>’</w:t>
      </w:r>
      <w:r>
        <w:t>.</w:t>
      </w:r>
      <w:r w:rsidR="009F129F">
        <w:rPr>
          <w:rStyle w:val="FootnoteReference"/>
        </w:rPr>
        <w:footnoteReference w:id="1"/>
      </w:r>
      <w:r>
        <w:t xml:space="preserve"> </w:t>
      </w:r>
      <w:r w:rsidR="00952EB7">
        <w:t>It is hard to find anyone who disagrees with such broad objectives – although there are in our view better ways of trying to achieve them than redesigning means-tested benefits in this way.</w:t>
      </w:r>
    </w:p>
    <w:p w14:paraId="292D00CD" w14:textId="19C95654" w:rsidR="009062AD" w:rsidRDefault="00727298" w:rsidP="009062AD">
      <w:r>
        <w:t xml:space="preserve">However, </w:t>
      </w:r>
      <w:r w:rsidR="00952EB7">
        <w:t xml:space="preserve">in addition, </w:t>
      </w:r>
      <w:r>
        <w:t xml:space="preserve">a series of problems in </w:t>
      </w:r>
      <w:r w:rsidR="00952EB7">
        <w:t>the</w:t>
      </w:r>
      <w:r>
        <w:t xml:space="preserve"> design</w:t>
      </w:r>
      <w:r w:rsidR="00952EB7">
        <w:t xml:space="preserve"> of UC from the beginning,</w:t>
      </w:r>
      <w:r>
        <w:t xml:space="preserve"> </w:t>
      </w:r>
      <w:r w:rsidR="00B534EE">
        <w:t xml:space="preserve">made worse by </w:t>
      </w:r>
      <w:r>
        <w:t>subsequent c</w:t>
      </w:r>
      <w:r w:rsidR="00952EB7">
        <w:t>uts,</w:t>
      </w:r>
      <w:r w:rsidR="00B534EE">
        <w:t xml:space="preserve"> </w:t>
      </w:r>
      <w:r>
        <w:t>se</w:t>
      </w:r>
      <w:r w:rsidR="00952EB7">
        <w:t>riously</w:t>
      </w:r>
      <w:r>
        <w:t xml:space="preserve"> undermine these</w:t>
      </w:r>
      <w:r w:rsidR="00D24A95">
        <w:t xml:space="preserve"> objectives</w:t>
      </w:r>
      <w:r>
        <w:t>.</w:t>
      </w:r>
    </w:p>
    <w:p w14:paraId="13C2CA61" w14:textId="5C018F09" w:rsidR="0058163B" w:rsidRDefault="0058163B" w:rsidP="009062AD">
      <w:r>
        <w:t>As a result</w:t>
      </w:r>
      <w:r w:rsidR="00441B63">
        <w:t xml:space="preserve"> of the cuts to spending on Universal Credit</w:t>
      </w:r>
      <w:r>
        <w:t xml:space="preserve">: </w:t>
      </w:r>
    </w:p>
    <w:p w14:paraId="25E35B11" w14:textId="42D92C4A" w:rsidR="0058163B" w:rsidRDefault="0058163B" w:rsidP="0058163B">
      <w:pPr>
        <w:pStyle w:val="ListParagraph"/>
        <w:numPr>
          <w:ilvl w:val="0"/>
          <w:numId w:val="3"/>
        </w:numPr>
      </w:pPr>
      <w:r w:rsidRPr="00594B57">
        <w:rPr>
          <w:b/>
        </w:rPr>
        <w:t xml:space="preserve">Employed claimants </w:t>
      </w:r>
      <w:r>
        <w:rPr>
          <w:b/>
        </w:rPr>
        <w:t>will</w:t>
      </w:r>
      <w:r w:rsidRPr="00594B57">
        <w:rPr>
          <w:b/>
        </w:rPr>
        <w:t xml:space="preserve"> be £1200 worse off</w:t>
      </w:r>
      <w:r>
        <w:t xml:space="preserve"> per year by April 2021 compared with the original design of UC; </w:t>
      </w:r>
      <w:r w:rsidRPr="00594B57">
        <w:rPr>
          <w:b/>
        </w:rPr>
        <w:t>unemployed claimants will be £500 worse off</w:t>
      </w:r>
      <w:r w:rsidR="00952EB7">
        <w:t>;</w:t>
      </w:r>
    </w:p>
    <w:p w14:paraId="1E296DE6" w14:textId="2809D4E8" w:rsidR="0058163B" w:rsidRDefault="0058163B" w:rsidP="0058163B">
      <w:pPr>
        <w:pStyle w:val="ListParagraph"/>
        <w:numPr>
          <w:ilvl w:val="0"/>
          <w:numId w:val="3"/>
        </w:numPr>
      </w:pPr>
      <w:r>
        <w:t>Women will lose more than men</w:t>
      </w:r>
      <w:r w:rsidR="00952EB7">
        <w:t xml:space="preserve"> on average;</w:t>
      </w:r>
      <w:r w:rsidR="00AD7D49">
        <w:t xml:space="preserve"> </w:t>
      </w:r>
    </w:p>
    <w:p w14:paraId="204B0050" w14:textId="5BE4AE98" w:rsidR="00AD7D49" w:rsidRDefault="00AD7D49" w:rsidP="00337838">
      <w:pPr>
        <w:pStyle w:val="ListParagraph"/>
        <w:numPr>
          <w:ilvl w:val="0"/>
          <w:numId w:val="3"/>
        </w:numPr>
      </w:pPr>
      <w:r w:rsidRPr="006906B1">
        <w:rPr>
          <w:b/>
        </w:rPr>
        <w:t>Families with three children</w:t>
      </w:r>
      <w:r>
        <w:t xml:space="preserve"> </w:t>
      </w:r>
      <w:r w:rsidRPr="006906B1">
        <w:rPr>
          <w:b/>
        </w:rPr>
        <w:t>with one earner will be £3891 worse off</w:t>
      </w:r>
      <w:r>
        <w:t xml:space="preserve">, while families </w:t>
      </w:r>
      <w:r w:rsidR="00952EB7">
        <w:t xml:space="preserve">of this size </w:t>
      </w:r>
      <w:r>
        <w:t xml:space="preserve">with </w:t>
      </w:r>
      <w:r w:rsidRPr="006906B1">
        <w:rPr>
          <w:b/>
        </w:rPr>
        <w:t>two earners will be £3287</w:t>
      </w:r>
      <w:r>
        <w:t xml:space="preserve"> worse off</w:t>
      </w:r>
      <w:r w:rsidR="00952EB7">
        <w:t>.</w:t>
      </w:r>
      <w:r>
        <w:t xml:space="preserve"> </w:t>
      </w:r>
    </w:p>
    <w:p w14:paraId="06CA2DD7" w14:textId="6E38B7C9" w:rsidR="009F129F" w:rsidRPr="007235D0" w:rsidRDefault="007B19F4" w:rsidP="009F129F">
      <w:pPr>
        <w:rPr>
          <w:b/>
          <w:color w:val="000000" w:themeColor="text1"/>
          <w:sz w:val="24"/>
        </w:rPr>
      </w:pPr>
      <w:r w:rsidRPr="007235D0">
        <w:rPr>
          <w:b/>
          <w:color w:val="000000" w:themeColor="text1"/>
          <w:sz w:val="24"/>
        </w:rPr>
        <w:t>Wh</w:t>
      </w:r>
      <w:r w:rsidR="009F129F" w:rsidRPr="007235D0">
        <w:rPr>
          <w:b/>
          <w:color w:val="000000" w:themeColor="text1"/>
          <w:sz w:val="24"/>
        </w:rPr>
        <w:t>at is wrong with the design of Universal C</w:t>
      </w:r>
      <w:r w:rsidRPr="007235D0">
        <w:rPr>
          <w:b/>
          <w:color w:val="000000" w:themeColor="text1"/>
          <w:sz w:val="24"/>
        </w:rPr>
        <w:t xml:space="preserve">redit? </w:t>
      </w:r>
    </w:p>
    <w:p w14:paraId="3897C9B3" w14:textId="1C397DEF" w:rsidR="009F129F" w:rsidRPr="007235D0" w:rsidRDefault="00F33152" w:rsidP="009F129F">
      <w:pPr>
        <w:rPr>
          <w:i/>
        </w:rPr>
      </w:pPr>
      <w:r>
        <w:rPr>
          <w:i/>
        </w:rPr>
        <w:t>Monthly assessment and s</w:t>
      </w:r>
      <w:r w:rsidR="009F129F" w:rsidRPr="007235D0">
        <w:rPr>
          <w:i/>
        </w:rPr>
        <w:t>ingle monthly payment</w:t>
      </w:r>
    </w:p>
    <w:p w14:paraId="5E03A126" w14:textId="45862E69" w:rsidR="005D2DF5" w:rsidRDefault="009F129F" w:rsidP="009F129F">
      <w:r>
        <w:t xml:space="preserve">Universal credit is paid every month </w:t>
      </w:r>
      <w:r w:rsidR="0074538F">
        <w:t>through</w:t>
      </w:r>
      <w:r>
        <w:t xml:space="preserve"> a single payment</w:t>
      </w:r>
      <w:r w:rsidR="0074538F">
        <w:t xml:space="preserve"> in arrears</w:t>
      </w:r>
      <w:r w:rsidR="0024210E">
        <w:t xml:space="preserve">. </w:t>
      </w:r>
      <w:r w:rsidR="00952EB7">
        <w:t>(</w:t>
      </w:r>
      <w:r w:rsidR="0024210E">
        <w:t>T</w:t>
      </w:r>
      <w:r w:rsidR="00952EB7">
        <w:t>his is the default arrangement, though in Scotland and Northern Ireland it is possible to have more frequent payments, and some claimants in England and Wales may be able to have them in particular circumstances.) T</w:t>
      </w:r>
      <w:r w:rsidR="0024210E">
        <w:t xml:space="preserve">he government </w:t>
      </w:r>
      <w:r w:rsidR="00B534EE">
        <w:t>claimed</w:t>
      </w:r>
      <w:r w:rsidR="0024210E">
        <w:t xml:space="preserve"> that the intention of a monthly payment was </w:t>
      </w:r>
      <w:r>
        <w:t>to mimic as close</w:t>
      </w:r>
      <w:r w:rsidR="00B534EE">
        <w:t>ly</w:t>
      </w:r>
      <w:r>
        <w:t xml:space="preserve"> as possible the monthly </w:t>
      </w:r>
      <w:r w:rsidR="00952EB7">
        <w:t>pay that</w:t>
      </w:r>
      <w:r>
        <w:t xml:space="preserve"> people receive when in employment. However, </w:t>
      </w:r>
      <w:r w:rsidR="0024210E">
        <w:t>half th</w:t>
      </w:r>
      <w:r w:rsidR="00952EB7">
        <w:t>ose</w:t>
      </w:r>
      <w:r w:rsidR="0024210E">
        <w:t xml:space="preserve"> earning less than £10,000 </w:t>
      </w:r>
      <w:r w:rsidR="00952EB7">
        <w:t>per</w:t>
      </w:r>
      <w:r w:rsidR="0024210E">
        <w:t xml:space="preserve"> year receive their earnings weekly or fortnightly</w:t>
      </w:r>
      <w:r w:rsidR="0024210E">
        <w:rPr>
          <w:rStyle w:val="FootnoteReference"/>
        </w:rPr>
        <w:footnoteReference w:id="2"/>
      </w:r>
      <w:r w:rsidR="0024210E">
        <w:t xml:space="preserve">  and</w:t>
      </w:r>
    </w:p>
    <w:p w14:paraId="409BE335" w14:textId="6F0AEEE2" w:rsidR="00591C6E" w:rsidRDefault="005D2DF5" w:rsidP="009F129F">
      <w:r>
        <w:t>Moreover, with UC almost all your eggs are in the one basket. So i</w:t>
      </w:r>
      <w:r w:rsidR="0074538F">
        <w:t>f there are delays or administrative problems</w:t>
      </w:r>
      <w:r>
        <w:t xml:space="preserve"> – which are reportedly common with UC payments currently – workless </w:t>
      </w:r>
      <w:r w:rsidR="0074538F">
        <w:t xml:space="preserve">claimants risk losing </w:t>
      </w:r>
      <w:r>
        <w:t xml:space="preserve">almost all </w:t>
      </w:r>
      <w:r w:rsidR="0074538F">
        <w:t xml:space="preserve">their income. </w:t>
      </w:r>
      <w:r>
        <w:t xml:space="preserve">Only council tax support amongst the means-tested benefits is dealt with separately. There are reports of claimants surviving for weeks on child benefit as their only source of regular income. </w:t>
      </w:r>
      <w:r w:rsidR="0074538F">
        <w:t xml:space="preserve">This </w:t>
      </w:r>
      <w:r w:rsidR="00B534EE">
        <w:t xml:space="preserve">inevitably </w:t>
      </w:r>
      <w:r w:rsidR="0074538F">
        <w:t>result</w:t>
      </w:r>
      <w:r w:rsidR="00B534EE">
        <w:t>s</w:t>
      </w:r>
      <w:r w:rsidR="0074538F">
        <w:t xml:space="preserve"> in hardship for</w:t>
      </w:r>
      <w:r>
        <w:t xml:space="preserve"> many</w:t>
      </w:r>
      <w:r w:rsidR="0074538F">
        <w:t xml:space="preserve"> </w:t>
      </w:r>
      <w:r w:rsidR="00B534EE">
        <w:t xml:space="preserve">claimants and their </w:t>
      </w:r>
      <w:r w:rsidR="0074538F">
        <w:t xml:space="preserve">families, as </w:t>
      </w:r>
      <w:r w:rsidR="00591C6E">
        <w:t>most have little or no savings to fall back on.</w:t>
      </w:r>
      <w:r w:rsidR="008838BF">
        <w:rPr>
          <w:rStyle w:val="FootnoteReference"/>
        </w:rPr>
        <w:footnoteReference w:id="3"/>
      </w:r>
    </w:p>
    <w:p w14:paraId="2D38D64F" w14:textId="77777777" w:rsidR="00F33152" w:rsidRDefault="005D2DF5" w:rsidP="009F129F">
      <w:r>
        <w:lastRenderedPageBreak/>
        <w:t xml:space="preserve">The government has argued that advance payments are available, and has recently given guidance to Jobcentres to be more proactive about publicising these. But such payments are not automatic, and have to be paid back, usually over six months. </w:t>
      </w:r>
    </w:p>
    <w:p w14:paraId="55AB593B" w14:textId="00633BEB" w:rsidR="005D2DF5" w:rsidRDefault="00ED27C3" w:rsidP="009F129F">
      <w:r>
        <w:t>So a</w:t>
      </w:r>
      <w:r w:rsidR="00F33152">
        <w:t>dvance payments are not a solution to the structural problem, which is that UC is assessed monthly. So there is no weekly or daily rate of UC. And</w:t>
      </w:r>
      <w:r>
        <w:t>,</w:t>
      </w:r>
      <w:r w:rsidR="00F33152">
        <w:t xml:space="preserve"> </w:t>
      </w:r>
      <w:r>
        <w:t xml:space="preserve">apart from changes in pay, which are dealt with through the RTI system, </w:t>
      </w:r>
      <w:r w:rsidR="00F33152">
        <w:t>only 12 days in the year matter for</w:t>
      </w:r>
      <w:r>
        <w:t xml:space="preserve"> UC</w:t>
      </w:r>
      <w:r w:rsidR="00F33152">
        <w:t xml:space="preserve"> claimants</w:t>
      </w:r>
      <w:r>
        <w:t xml:space="preserve">. It is their </w:t>
      </w:r>
      <w:r w:rsidR="00F33152">
        <w:t>circumstances on those 12 assessment days that count for UC, regardless of</w:t>
      </w:r>
      <w:r>
        <w:t xml:space="preserve"> what happens </w:t>
      </w:r>
      <w:r w:rsidR="00F33152">
        <w:t>during</w:t>
      </w:r>
      <w:r>
        <w:t xml:space="preserve"> the rest of the month</w:t>
      </w:r>
      <w:r w:rsidR="00F33152">
        <w:t xml:space="preserve">. </w:t>
      </w:r>
      <w:r>
        <w:t>So, apart from pay, any difference between the amount of UC and actual household needs has to be absorbed by the claimants and their families.</w:t>
      </w:r>
    </w:p>
    <w:p w14:paraId="41EFDCCD" w14:textId="3B03F4EF" w:rsidR="00591C6E" w:rsidRPr="007235D0" w:rsidRDefault="007B19F4" w:rsidP="00591C6E">
      <w:pPr>
        <w:rPr>
          <w:i/>
        </w:rPr>
      </w:pPr>
      <w:r w:rsidRPr="007235D0">
        <w:rPr>
          <w:i/>
        </w:rPr>
        <w:t>Payment</w:t>
      </w:r>
      <w:r w:rsidR="00591C6E" w:rsidRPr="007235D0">
        <w:rPr>
          <w:i/>
        </w:rPr>
        <w:t xml:space="preserve"> to single </w:t>
      </w:r>
      <w:r w:rsidR="005D2DF5">
        <w:rPr>
          <w:i/>
        </w:rPr>
        <w:t>account</w:t>
      </w:r>
      <w:r w:rsidRPr="007235D0">
        <w:rPr>
          <w:i/>
        </w:rPr>
        <w:t xml:space="preserve"> </w:t>
      </w:r>
    </w:p>
    <w:p w14:paraId="09D15561" w14:textId="48C7BB6F" w:rsidR="00ED27C3" w:rsidRDefault="00591C6E" w:rsidP="002E2166">
      <w:r>
        <w:t xml:space="preserve">The monthly payment is paid </w:t>
      </w:r>
      <w:r w:rsidR="00ED27C3">
        <w:t>in full</w:t>
      </w:r>
      <w:r>
        <w:t xml:space="preserve"> into a single bank account. </w:t>
      </w:r>
      <w:r w:rsidR="00ED27C3">
        <w:t>T</w:t>
      </w:r>
      <w:r>
        <w:t>his m</w:t>
      </w:r>
      <w:r w:rsidR="00ED27C3">
        <w:t xml:space="preserve">eans a </w:t>
      </w:r>
      <w:r>
        <w:t xml:space="preserve">lack of independent income and power imbalances in relationships. </w:t>
      </w:r>
      <w:r w:rsidR="00ED27C3">
        <w:t>It may also mean a higher risk of financial abuse, and greater difficulty</w:t>
      </w:r>
      <w:r w:rsidR="00B60B37">
        <w:t xml:space="preserve"> for women to have access to money to meet </w:t>
      </w:r>
      <w:r w:rsidR="00B534EE">
        <w:t xml:space="preserve">their own </w:t>
      </w:r>
      <w:r w:rsidR="00B60B37">
        <w:t>and their children’s needs</w:t>
      </w:r>
      <w:r w:rsidR="00B534EE">
        <w:t xml:space="preserve"> and to leave abusive relationships</w:t>
      </w:r>
      <w:r w:rsidR="00B60B37">
        <w:t xml:space="preserve">. </w:t>
      </w:r>
    </w:p>
    <w:p w14:paraId="22D875F1" w14:textId="760ECAB0" w:rsidR="00C54708" w:rsidRDefault="00591C6E" w:rsidP="002E2166">
      <w:r>
        <w:t>After several third-sector organisations and other stakeholders stated their concerns about the</w:t>
      </w:r>
      <w:r w:rsidR="00ED27C3">
        <w:t>se</w:t>
      </w:r>
      <w:r>
        <w:t xml:space="preserve"> risks of financial abuse</w:t>
      </w:r>
      <w:r w:rsidR="00B60B37">
        <w:t xml:space="preserve">, Scotland committed in February 2017 to allow UC payments to be </w:t>
      </w:r>
      <w:r w:rsidR="00ED27C3">
        <w:t>split between partners rather than paid to a single account</w:t>
      </w:r>
      <w:r w:rsidR="00B60B37">
        <w:t>.</w:t>
      </w:r>
      <w:r w:rsidR="005A341A">
        <w:rPr>
          <w:rStyle w:val="FootnoteReference"/>
        </w:rPr>
        <w:footnoteReference w:id="4"/>
      </w:r>
      <w:r w:rsidR="00ED27C3">
        <w:t xml:space="preserve"> (Splitting of the payment is only possible currently in particular circumstances, and must be requested.)</w:t>
      </w:r>
    </w:p>
    <w:p w14:paraId="3343C443" w14:textId="117B4300" w:rsidR="00C54708" w:rsidRPr="00327B0B" w:rsidRDefault="00E637E0" w:rsidP="005A341A">
      <w:pPr>
        <w:rPr>
          <w:i/>
        </w:rPr>
      </w:pPr>
      <w:r>
        <w:rPr>
          <w:i/>
        </w:rPr>
        <w:t xml:space="preserve">Worsened </w:t>
      </w:r>
      <w:r w:rsidR="005A341A" w:rsidRPr="00327B0B">
        <w:rPr>
          <w:i/>
        </w:rPr>
        <w:t xml:space="preserve">incentives </w:t>
      </w:r>
      <w:r w:rsidR="00441B63">
        <w:rPr>
          <w:i/>
        </w:rPr>
        <w:t xml:space="preserve">to employment for </w:t>
      </w:r>
      <w:r w:rsidR="006F3E01">
        <w:rPr>
          <w:i/>
        </w:rPr>
        <w:t xml:space="preserve">second earners and lone parents </w:t>
      </w:r>
    </w:p>
    <w:p w14:paraId="72D51E0F" w14:textId="2C5B768E" w:rsidR="00E637E0" w:rsidRDefault="005A341A" w:rsidP="00DE2F5B">
      <w:r>
        <w:t xml:space="preserve">Research on the original UC design has consistently shown that </w:t>
      </w:r>
      <w:r w:rsidR="00495C66">
        <w:t xml:space="preserve">the tapering of Universal Credit at 63% </w:t>
      </w:r>
      <w:r w:rsidR="0024210E">
        <w:t xml:space="preserve">for </w:t>
      </w:r>
      <w:r w:rsidR="00E637E0">
        <w:t xml:space="preserve">net </w:t>
      </w:r>
      <w:r w:rsidR="0024210E">
        <w:t xml:space="preserve">income </w:t>
      </w:r>
      <w:r w:rsidR="00E637E0">
        <w:t>(above</w:t>
      </w:r>
      <w:r w:rsidR="0024210E">
        <w:t xml:space="preserve"> the </w:t>
      </w:r>
      <w:r w:rsidR="00E637E0">
        <w:t xml:space="preserve">level of the </w:t>
      </w:r>
      <w:r w:rsidR="0024210E">
        <w:t xml:space="preserve">work allowance </w:t>
      </w:r>
      <w:r w:rsidR="00E637E0">
        <w:t>where relevant)</w:t>
      </w:r>
      <w:r w:rsidR="00EA0C1B">
        <w:t xml:space="preserve"> </w:t>
      </w:r>
      <w:r w:rsidR="00495C66">
        <w:t>reduces the incentive for second earners to enter paid employment</w:t>
      </w:r>
      <w:r w:rsidR="00ED27C3">
        <w:t>,</w:t>
      </w:r>
      <w:r w:rsidR="00495C66">
        <w:t xml:space="preserve"> or to work more hours</w:t>
      </w:r>
      <w:r w:rsidR="00E637E0">
        <w:t xml:space="preserve"> in relation to the tax credits system</w:t>
      </w:r>
      <w:r w:rsidR="00495C66">
        <w:t>.</w:t>
      </w:r>
      <w:r w:rsidR="008D0C70">
        <w:rPr>
          <w:rStyle w:val="FootnoteReference"/>
        </w:rPr>
        <w:footnoteReference w:id="5"/>
      </w:r>
      <w:r w:rsidR="00495C66">
        <w:t xml:space="preserve"> </w:t>
      </w:r>
      <w:r w:rsidR="00ED27C3">
        <w:t xml:space="preserve"> This is beca</w:t>
      </w:r>
      <w:r w:rsidR="00E637E0">
        <w:t>use in many couples the ‘first earner’ will have used up the work allowance in relation to their own wages already</w:t>
      </w:r>
      <w:r w:rsidR="009156B1">
        <w:t>. T</w:t>
      </w:r>
      <w:r w:rsidR="00E637E0">
        <w:t>he taper</w:t>
      </w:r>
      <w:r w:rsidR="009156B1">
        <w:t xml:space="preserve"> in the tax credits system was </w:t>
      </w:r>
      <w:r w:rsidR="00E637E0">
        <w:t>41% of gross income.</w:t>
      </w:r>
    </w:p>
    <w:p w14:paraId="1B4594C6" w14:textId="6F465820" w:rsidR="00DA1F44" w:rsidRDefault="00495C66" w:rsidP="00DE2F5B">
      <w:r>
        <w:t>Analysis from the Joseph Rowntree Foundation found that this is especially true for lone parents and second earners on the minimum wage.</w:t>
      </w:r>
      <w:r>
        <w:rPr>
          <w:rStyle w:val="FootnoteReference"/>
        </w:rPr>
        <w:footnoteReference w:id="6"/>
      </w:r>
      <w:r>
        <w:t xml:space="preserve"> For these claimants, working over 30 hours a week translates into lower disposable income compared with working fewer hours</w:t>
      </w:r>
      <w:r w:rsidR="009156B1">
        <w:t>,</w:t>
      </w:r>
      <w:r>
        <w:t xml:space="preserve"> since the childcare allowance and the pay received will not be enough to cover the tapering of UC</w:t>
      </w:r>
      <w:r w:rsidR="00E47FCD">
        <w:t>, the tax that has to be paid on such income</w:t>
      </w:r>
      <w:r w:rsidR="00E637E0">
        <w:t>,</w:t>
      </w:r>
      <w:r w:rsidR="00E47FCD">
        <w:t xml:space="preserve"> and childcare costs</w:t>
      </w:r>
      <w:r>
        <w:t>.</w:t>
      </w:r>
      <w:r w:rsidR="005A341A">
        <w:t xml:space="preserve">  </w:t>
      </w:r>
    </w:p>
    <w:p w14:paraId="06EFE130" w14:textId="43CD97EC" w:rsidR="00242FFC" w:rsidRPr="00242FFC" w:rsidRDefault="00242FFC" w:rsidP="00DE2F5B">
      <w:pPr>
        <w:rPr>
          <w:i/>
        </w:rPr>
      </w:pPr>
      <w:r w:rsidRPr="00242FFC">
        <w:rPr>
          <w:i/>
        </w:rPr>
        <w:t>Conditionality for parents and partners</w:t>
      </w:r>
    </w:p>
    <w:p w14:paraId="2A997449" w14:textId="32278D04" w:rsidR="00242FFC" w:rsidRDefault="00242FFC" w:rsidP="00242FFC">
      <w:r>
        <w:t xml:space="preserve">The introduction of UC means conditionality for the first time for many partners in couples, with and without children, who if they have had a partner in employment have previously not been affected. This will bring a large group of women in particular into conditionality for the first time. The Women’s Budget Group is concerned that there is little awareness amongst Jobcentre staff of the complexities of gender roles and relationships, or of the potential impact of the combination in UC </w:t>
      </w:r>
      <w:r>
        <w:lastRenderedPageBreak/>
        <w:t>of joint claims, conditionality for both partners, a joint earnings threshold target and a single monthly payment for most couples.</w:t>
      </w:r>
    </w:p>
    <w:p w14:paraId="0703B53B" w14:textId="78AFBA02" w:rsidR="007B19F4" w:rsidRDefault="005D2DF5">
      <w:pPr>
        <w:rPr>
          <w:b/>
          <w:color w:val="000000" w:themeColor="text1"/>
          <w:sz w:val="24"/>
        </w:rPr>
      </w:pPr>
      <w:r>
        <w:rPr>
          <w:b/>
          <w:color w:val="000000" w:themeColor="text1"/>
          <w:sz w:val="24"/>
        </w:rPr>
        <w:t>C</w:t>
      </w:r>
      <w:r w:rsidR="00882604" w:rsidRPr="007235D0">
        <w:rPr>
          <w:b/>
          <w:color w:val="000000" w:themeColor="text1"/>
          <w:sz w:val="24"/>
        </w:rPr>
        <w:t>hanges in S</w:t>
      </w:r>
      <w:r w:rsidR="007B19F4" w:rsidRPr="007235D0">
        <w:rPr>
          <w:b/>
          <w:color w:val="000000" w:themeColor="text1"/>
          <w:sz w:val="24"/>
        </w:rPr>
        <w:t>ummer</w:t>
      </w:r>
      <w:r w:rsidR="00882604" w:rsidRPr="007235D0">
        <w:rPr>
          <w:b/>
          <w:color w:val="000000" w:themeColor="text1"/>
          <w:sz w:val="24"/>
        </w:rPr>
        <w:t xml:space="preserve"> Budget</w:t>
      </w:r>
      <w:r w:rsidR="007B19F4" w:rsidRPr="007235D0">
        <w:rPr>
          <w:b/>
          <w:color w:val="000000" w:themeColor="text1"/>
          <w:sz w:val="24"/>
        </w:rPr>
        <w:t xml:space="preserve"> 2015 </w:t>
      </w:r>
    </w:p>
    <w:p w14:paraId="652FE9D3" w14:textId="77777777" w:rsidR="00F44330" w:rsidRDefault="0024210E" w:rsidP="00DE2F5B">
      <w:pPr>
        <w:rPr>
          <w:color w:val="000000" w:themeColor="text1"/>
        </w:rPr>
      </w:pPr>
      <w:r>
        <w:rPr>
          <w:color w:val="000000" w:themeColor="text1"/>
        </w:rPr>
        <w:t>A series of changes were made to Universal Credit in the Summer 201</w:t>
      </w:r>
      <w:r w:rsidR="009156B1">
        <w:rPr>
          <w:color w:val="000000" w:themeColor="text1"/>
        </w:rPr>
        <w:t>5</w:t>
      </w:r>
      <w:r>
        <w:rPr>
          <w:color w:val="000000" w:themeColor="text1"/>
        </w:rPr>
        <w:t xml:space="preserve"> </w:t>
      </w:r>
      <w:r w:rsidR="009156B1">
        <w:rPr>
          <w:color w:val="000000" w:themeColor="text1"/>
        </w:rPr>
        <w:t>B</w:t>
      </w:r>
      <w:r>
        <w:rPr>
          <w:color w:val="000000" w:themeColor="text1"/>
        </w:rPr>
        <w:t>udget</w:t>
      </w:r>
      <w:r w:rsidR="009156B1">
        <w:rPr>
          <w:color w:val="000000" w:themeColor="text1"/>
        </w:rPr>
        <w:t>,</w:t>
      </w:r>
      <w:r>
        <w:rPr>
          <w:color w:val="000000" w:themeColor="text1"/>
        </w:rPr>
        <w:t xml:space="preserve"> including: </w:t>
      </w:r>
    </w:p>
    <w:p w14:paraId="4BD75696" w14:textId="0A8D2E25" w:rsidR="003E3528" w:rsidRPr="00882604" w:rsidRDefault="007B19F4" w:rsidP="00DE2F5B">
      <w:pPr>
        <w:rPr>
          <w:i/>
        </w:rPr>
      </w:pPr>
      <w:r w:rsidRPr="00882604">
        <w:rPr>
          <w:i/>
        </w:rPr>
        <w:t xml:space="preserve">Further cuts </w:t>
      </w:r>
      <w:r w:rsidR="00E47DBA" w:rsidRPr="00882604">
        <w:rPr>
          <w:i/>
        </w:rPr>
        <w:t>to work allowance</w:t>
      </w:r>
      <w:r w:rsidR="00065D1A" w:rsidRPr="00882604">
        <w:rPr>
          <w:i/>
        </w:rPr>
        <w:t xml:space="preserve"> (from April 2016)</w:t>
      </w:r>
      <w:r w:rsidR="002B648D" w:rsidRPr="00882604">
        <w:rPr>
          <w:i/>
        </w:rPr>
        <w:t xml:space="preserve"> </w:t>
      </w:r>
    </w:p>
    <w:p w14:paraId="4C245E83" w14:textId="40C603E2" w:rsidR="003E3528" w:rsidRDefault="0024210E" w:rsidP="003E3528">
      <w:r>
        <w:t>T</w:t>
      </w:r>
      <w:r w:rsidR="00882604">
        <w:t>he work allowance (the amount of money claimants can earn before their U</w:t>
      </w:r>
      <w:r w:rsidR="009156B1">
        <w:t>C</w:t>
      </w:r>
      <w:r w:rsidR="00882604">
        <w:t xml:space="preserve"> starts </w:t>
      </w:r>
      <w:r w:rsidR="009156B1">
        <w:t>to be</w:t>
      </w:r>
      <w:r w:rsidR="0071435F">
        <w:t xml:space="preserve"> </w:t>
      </w:r>
      <w:r w:rsidR="00882604">
        <w:t>reduced)</w:t>
      </w:r>
      <w:r w:rsidR="009156B1">
        <w:t xml:space="preserve"> was cut for some groups of claimants and abolished entirely for others</w:t>
      </w:r>
      <w:r w:rsidR="00882604">
        <w:t xml:space="preserve">. </w:t>
      </w:r>
      <w:r w:rsidR="00CB1831">
        <w:t>Because the first earner was now more likely to have used up a couple’s work allowance, t</w:t>
      </w:r>
      <w:r w:rsidR="00882604">
        <w:t>his exacerbated the disincentive for some groups</w:t>
      </w:r>
      <w:r w:rsidR="00580B89">
        <w:t xml:space="preserve"> – particularly second earners in families with children –</w:t>
      </w:r>
      <w:r w:rsidR="00882604">
        <w:t xml:space="preserve"> to enter work or progress to more hours, as </w:t>
      </w:r>
      <w:r w:rsidR="00580B89">
        <w:t>analysis</w:t>
      </w:r>
      <w:r w:rsidR="00882604">
        <w:t xml:space="preserve"> from the House of Commons</w:t>
      </w:r>
      <w:r w:rsidR="00580B89">
        <w:rPr>
          <w:rStyle w:val="FootnoteReference"/>
        </w:rPr>
        <w:footnoteReference w:id="7"/>
      </w:r>
      <w:r w:rsidR="00580B89">
        <w:t xml:space="preserve"> </w:t>
      </w:r>
      <w:r w:rsidR="00882604">
        <w:t xml:space="preserve"> </w:t>
      </w:r>
      <w:r w:rsidR="00580B89">
        <w:t>and from the Social Mobility and Child Poverty Commission</w:t>
      </w:r>
      <w:r w:rsidR="00580B89">
        <w:rPr>
          <w:rStyle w:val="FootnoteReference"/>
        </w:rPr>
        <w:footnoteReference w:id="8"/>
      </w:r>
      <w:r w:rsidR="00580B89">
        <w:t xml:space="preserve"> </w:t>
      </w:r>
      <w:r w:rsidR="00882604">
        <w:t>acknowledged.</w:t>
      </w:r>
      <w:r w:rsidR="00580B89">
        <w:t xml:space="preserve"> </w:t>
      </w:r>
      <w:r>
        <w:t xml:space="preserve">As a result of </w:t>
      </w:r>
      <w:r w:rsidR="00580B89">
        <w:t xml:space="preserve">these changes, </w:t>
      </w:r>
      <w:r w:rsidR="00CB1831">
        <w:t>nearly all</w:t>
      </w:r>
      <w:r w:rsidR="00580B89">
        <w:t xml:space="preserve"> second earners in receipt of UC are set to lose 65p for every £1 earned’ as soon as they start paid work, which acts as a ‘significant disincentive to enter employment’</w:t>
      </w:r>
      <w:r w:rsidR="00580B89">
        <w:rPr>
          <w:rStyle w:val="FootnoteReference"/>
        </w:rPr>
        <w:footnoteReference w:id="9"/>
      </w:r>
      <w:r w:rsidR="00882604">
        <w:t xml:space="preserve"> </w:t>
      </w:r>
      <w:r w:rsidR="00441B63">
        <w:t xml:space="preserve">and undermines the intention to make work pay. </w:t>
      </w:r>
      <w:r w:rsidR="009156B1">
        <w:t>(The government subsequently reduced the taper from 65p to 63p in the pound</w:t>
      </w:r>
      <w:r w:rsidR="00941FA2">
        <w:t>;</w:t>
      </w:r>
      <w:r w:rsidR="009156B1">
        <w:t xml:space="preserve"> but this was inadequate compensation for the </w:t>
      </w:r>
      <w:r w:rsidR="00941FA2">
        <w:t>cuts</w:t>
      </w:r>
      <w:r w:rsidR="009156B1">
        <w:t>.)</w:t>
      </w:r>
    </w:p>
    <w:p w14:paraId="6C244D41" w14:textId="77777777" w:rsidR="009C5EC8" w:rsidRPr="006D37A8" w:rsidRDefault="009C5EC8" w:rsidP="009C5EC8">
      <w:pPr>
        <w:rPr>
          <w:i/>
        </w:rPr>
      </w:pPr>
      <w:r w:rsidRPr="006D37A8">
        <w:rPr>
          <w:i/>
        </w:rPr>
        <w:t xml:space="preserve">Increase in waiting time for first UC payment </w:t>
      </w:r>
    </w:p>
    <w:p w14:paraId="1343BB97" w14:textId="6F7E70A7" w:rsidR="00941FA2" w:rsidRDefault="009C5EC8" w:rsidP="003E3528">
      <w:r>
        <w:t>In 2015</w:t>
      </w:r>
      <w:r w:rsidR="00941FA2">
        <w:t>,</w:t>
      </w:r>
      <w:r>
        <w:t xml:space="preserve"> </w:t>
      </w:r>
      <w:r w:rsidR="001C2078">
        <w:t>t</w:t>
      </w:r>
      <w:r>
        <w:t xml:space="preserve">he government introduced a </w:t>
      </w:r>
      <w:r w:rsidR="00941FA2">
        <w:t>7</w:t>
      </w:r>
      <w:r>
        <w:t xml:space="preserve">-day waiting period for </w:t>
      </w:r>
      <w:r w:rsidR="00941FA2">
        <w:t xml:space="preserve">many </w:t>
      </w:r>
      <w:r>
        <w:t xml:space="preserve">new claims that increased the </w:t>
      </w:r>
      <w:r w:rsidR="00941FA2">
        <w:t xml:space="preserve">minimum </w:t>
      </w:r>
      <w:r>
        <w:t xml:space="preserve">waiting time for the first UC payment to </w:t>
      </w:r>
      <w:r w:rsidR="00941FA2">
        <w:t>6</w:t>
      </w:r>
      <w:r>
        <w:t xml:space="preserve"> </w:t>
      </w:r>
      <w:r w:rsidR="00941FA2">
        <w:t xml:space="preserve">rather than 5 </w:t>
      </w:r>
      <w:r>
        <w:t xml:space="preserve">weeks. </w:t>
      </w:r>
      <w:r w:rsidR="00941FA2">
        <w:t>(Those entering UC from legacy benefits do not have the 7 day waiting period.) Some benefits used to have a 3 day waiting period; but this only applied to those benefits, and not to benefits for housing costs and now payments for children in addition, as the 7 day waiting period for UC does.</w:t>
      </w:r>
    </w:p>
    <w:p w14:paraId="008E3F70" w14:textId="47A3095C" w:rsidR="009C5EC8" w:rsidRDefault="009C5EC8" w:rsidP="003E3528">
      <w:r>
        <w:t>Since U</w:t>
      </w:r>
      <w:r w:rsidR="00941FA2">
        <w:t>C</w:t>
      </w:r>
      <w:r>
        <w:t xml:space="preserve"> is paid monthly in arrears</w:t>
      </w:r>
      <w:r w:rsidR="00941FA2">
        <w:t>,</w:t>
      </w:r>
      <w:r>
        <w:t xml:space="preserve"> </w:t>
      </w:r>
      <w:r w:rsidR="00941FA2">
        <w:t xml:space="preserve">and the claim has to be processed administratively, </w:t>
      </w:r>
      <w:r>
        <w:t xml:space="preserve">claimants </w:t>
      </w:r>
      <w:r w:rsidR="00CE6DAF">
        <w:t xml:space="preserve">anyway </w:t>
      </w:r>
      <w:r>
        <w:t xml:space="preserve">have to wait </w:t>
      </w:r>
      <w:r w:rsidR="00941FA2">
        <w:t>more than</w:t>
      </w:r>
      <w:r>
        <w:t xml:space="preserve"> a month between the date they make their UC claim until they receive the first payment</w:t>
      </w:r>
      <w:r w:rsidR="00941FA2">
        <w:t xml:space="preserve"> (see above)</w:t>
      </w:r>
      <w:r>
        <w:t xml:space="preserve">. This </w:t>
      </w:r>
      <w:r w:rsidR="001C2078">
        <w:t>has</w:t>
      </w:r>
      <w:r>
        <w:t xml:space="preserve"> already </w:t>
      </w:r>
      <w:r w:rsidR="001C2078">
        <w:t>brought</w:t>
      </w:r>
      <w:r>
        <w:t xml:space="preserve"> hardship</w:t>
      </w:r>
      <w:r w:rsidR="00941FA2">
        <w:t xml:space="preserve"> to</w:t>
      </w:r>
      <w:r w:rsidR="006D5750">
        <w:t xml:space="preserve"> people without </w:t>
      </w:r>
      <w:r>
        <w:t>enough savings to cover that month</w:t>
      </w:r>
      <w:r w:rsidR="001C2078">
        <w:t xml:space="preserve"> </w:t>
      </w:r>
      <w:r w:rsidR="006D5750">
        <w:t>who</w:t>
      </w:r>
      <w:r w:rsidR="001C2078">
        <w:t xml:space="preserve"> have had to resort to foodbanks</w:t>
      </w:r>
      <w:r w:rsidR="006D5750">
        <w:t>, borrowing, going without</w:t>
      </w:r>
      <w:r w:rsidR="001C2078">
        <w:t xml:space="preserve"> and debt to make ends meet</w:t>
      </w:r>
      <w:r>
        <w:t>.</w:t>
      </w:r>
      <w:r w:rsidR="008838BF">
        <w:rPr>
          <w:rStyle w:val="FootnoteReference"/>
        </w:rPr>
        <w:footnoteReference w:id="10"/>
      </w:r>
      <w:r>
        <w:t xml:space="preserve"> </w:t>
      </w:r>
    </w:p>
    <w:p w14:paraId="4A719DE9" w14:textId="3CD0B62D" w:rsidR="00134C78" w:rsidRPr="00134C78" w:rsidRDefault="00A56DF8" w:rsidP="00134C78">
      <w:pPr>
        <w:rPr>
          <w:i/>
        </w:rPr>
      </w:pPr>
      <w:r w:rsidRPr="00134C78">
        <w:rPr>
          <w:i/>
        </w:rPr>
        <w:t>Two-child cap</w:t>
      </w:r>
      <w:r w:rsidR="00134C78" w:rsidRPr="00134C78">
        <w:rPr>
          <w:i/>
        </w:rPr>
        <w:t xml:space="preserve"> on </w:t>
      </w:r>
      <w:r w:rsidR="00441B63">
        <w:rPr>
          <w:i/>
        </w:rPr>
        <w:t xml:space="preserve">payments for children </w:t>
      </w:r>
    </w:p>
    <w:p w14:paraId="4102DCFD" w14:textId="4607B563" w:rsidR="003E3528" w:rsidRDefault="00134C78" w:rsidP="003E3528">
      <w:r>
        <w:t xml:space="preserve">The Summer Budget 2015 also saw the introduction of a limit on </w:t>
      </w:r>
      <w:r w:rsidR="00F44330">
        <w:t xml:space="preserve">payments </w:t>
      </w:r>
      <w:r w:rsidR="00441B63">
        <w:t xml:space="preserve">for </w:t>
      </w:r>
      <w:r>
        <w:t>the first t</w:t>
      </w:r>
      <w:r w:rsidR="00E76B8D">
        <w:t>wo children in a household for</w:t>
      </w:r>
      <w:r w:rsidR="00F44330">
        <w:t xml:space="preserve"> tax credit claims and</w:t>
      </w:r>
      <w:r w:rsidR="00E76B8D">
        <w:t xml:space="preserve"> new </w:t>
      </w:r>
      <w:r w:rsidR="00F44330">
        <w:t xml:space="preserve">Universal Credit </w:t>
      </w:r>
      <w:r w:rsidR="00E76B8D">
        <w:t>claims</w:t>
      </w:r>
      <w:r w:rsidR="00F44330">
        <w:t xml:space="preserve"> for</w:t>
      </w:r>
      <w:r w:rsidR="00E76B8D">
        <w:t xml:space="preserve"> births after April 2017. This </w:t>
      </w:r>
      <w:r w:rsidR="00941FA2">
        <w:t>affect</w:t>
      </w:r>
      <w:r w:rsidR="00E76B8D">
        <w:t xml:space="preserve">s larger families, </w:t>
      </w:r>
      <w:r w:rsidR="0024210E">
        <w:t>and disproportionately affects BME families since they are more likely to have three or more children.</w:t>
      </w:r>
      <w:r w:rsidR="00E76B8D">
        <w:t xml:space="preserve"> </w:t>
      </w:r>
    </w:p>
    <w:p w14:paraId="36187A69" w14:textId="71C6CDC5" w:rsidR="00D8573B" w:rsidRDefault="00D8573B" w:rsidP="003E3528">
      <w:r>
        <w:t>This is an arbitrary cut-off for support from the rest of the community for those who are bringing up children. It penalises some of the families with the lowest incomes in the country. And we know from work by the Women’s Budget Group and others that when families have to tighten their belts, it is often mothers who go without.</w:t>
      </w:r>
      <w:r>
        <w:rPr>
          <w:rStyle w:val="FootnoteReference"/>
        </w:rPr>
        <w:footnoteReference w:id="11"/>
      </w:r>
    </w:p>
    <w:p w14:paraId="512183E2" w14:textId="2D608A8C" w:rsidR="003E3528" w:rsidRPr="008838BF" w:rsidRDefault="005232BC" w:rsidP="008838BF">
      <w:pPr>
        <w:rPr>
          <w:i/>
        </w:rPr>
      </w:pPr>
      <w:r w:rsidRPr="008838BF">
        <w:rPr>
          <w:i/>
        </w:rPr>
        <w:lastRenderedPageBreak/>
        <w:t xml:space="preserve">Increased conditionality for parents </w:t>
      </w:r>
      <w:r w:rsidR="00CB34AF">
        <w:rPr>
          <w:i/>
        </w:rPr>
        <w:t>and partners</w:t>
      </w:r>
    </w:p>
    <w:p w14:paraId="15DA1F6F" w14:textId="1882ACF6" w:rsidR="005232BC" w:rsidRDefault="008838BF" w:rsidP="002E2166">
      <w:r>
        <w:t>Conditionality for parents</w:t>
      </w:r>
      <w:r w:rsidR="005232BC">
        <w:t xml:space="preserve"> was in</w:t>
      </w:r>
      <w:r>
        <w:t>creased from April 2017 onwards. P</w:t>
      </w:r>
      <w:r w:rsidR="005232BC">
        <w:t xml:space="preserve">arents of 3- and 4-year-olds </w:t>
      </w:r>
      <w:r>
        <w:t xml:space="preserve">are </w:t>
      </w:r>
      <w:r w:rsidR="005232BC">
        <w:t xml:space="preserve">expected to be available for work and actively seeking it. Parents of 2-year-olds </w:t>
      </w:r>
      <w:r>
        <w:t xml:space="preserve">are </w:t>
      </w:r>
      <w:r w:rsidR="005232BC">
        <w:t>required to attend work-focused interviews</w:t>
      </w:r>
      <w:r w:rsidR="00CB34AF">
        <w:t>,</w:t>
      </w:r>
      <w:r w:rsidR="005232BC">
        <w:t xml:space="preserve"> and </w:t>
      </w:r>
      <w:r w:rsidR="00CB34AF">
        <w:t xml:space="preserve">they have a </w:t>
      </w:r>
      <w:r w:rsidR="005232BC">
        <w:t xml:space="preserve">work preparation requirement, while parents of 1-year-olds </w:t>
      </w:r>
      <w:r>
        <w:t xml:space="preserve">are </w:t>
      </w:r>
      <w:r w:rsidR="005232BC">
        <w:t xml:space="preserve">required to attend work-focused interviews. </w:t>
      </w:r>
      <w:r>
        <w:t xml:space="preserve">This </w:t>
      </w:r>
      <w:r w:rsidR="00CB34AF">
        <w:t xml:space="preserve">may be problematic </w:t>
      </w:r>
      <w:r>
        <w:t>in particular for lone parents who struggle with</w:t>
      </w:r>
      <w:r w:rsidR="005232BC">
        <w:t xml:space="preserve"> job-seeking a</w:t>
      </w:r>
      <w:r w:rsidR="002E2166">
        <w:t>nd looking after their children</w:t>
      </w:r>
      <w:r>
        <w:t>.</w:t>
      </w:r>
      <w:r w:rsidR="00A10739">
        <w:rPr>
          <w:rStyle w:val="FootnoteReference"/>
        </w:rPr>
        <w:footnoteReference w:id="12"/>
      </w:r>
    </w:p>
    <w:p w14:paraId="5C62915C" w14:textId="77777777" w:rsidR="00B544FE" w:rsidRPr="00C0111D" w:rsidRDefault="00B544FE" w:rsidP="00B544FE">
      <w:pPr>
        <w:rPr>
          <w:i/>
        </w:rPr>
      </w:pPr>
      <w:r w:rsidRPr="00C0111D">
        <w:rPr>
          <w:i/>
        </w:rPr>
        <w:t xml:space="preserve">Overall freeze to benefits/tax credits </w:t>
      </w:r>
    </w:p>
    <w:p w14:paraId="7AA10E9E" w14:textId="4ACE2C74" w:rsidR="00937740" w:rsidRDefault="00B544FE" w:rsidP="00937740">
      <w:r>
        <w:t xml:space="preserve">In the summer 2015 </w:t>
      </w:r>
      <w:r w:rsidR="00CB34AF">
        <w:t xml:space="preserve">Budget, </w:t>
      </w:r>
      <w:r>
        <w:t>the freeze on working-age benefits</w:t>
      </w:r>
      <w:r>
        <w:rPr>
          <w:rStyle w:val="FootnoteReference"/>
        </w:rPr>
        <w:footnoteReference w:id="13"/>
      </w:r>
      <w:r>
        <w:t xml:space="preserve"> was extended to four years. </w:t>
      </w:r>
      <w:r w:rsidRPr="003E3528">
        <w:t>The Institute for Fiscal Studies says</w:t>
      </w:r>
      <w:r w:rsidR="00CB34AF">
        <w:t xml:space="preserve"> that</w:t>
      </w:r>
      <w:r w:rsidRPr="003E3528">
        <w:t xml:space="preserve"> the freeze will hit 13 million families (7.4 million</w:t>
      </w:r>
      <w:r w:rsidR="00CB34AF">
        <w:t xml:space="preserve"> of whom will be</w:t>
      </w:r>
      <w:r w:rsidRPr="003E3528">
        <w:t xml:space="preserve"> in work), who </w:t>
      </w:r>
      <w:r>
        <w:t>will lose an average £260/year.</w:t>
      </w:r>
      <w:r>
        <w:rPr>
          <w:rStyle w:val="FootnoteReference"/>
        </w:rPr>
        <w:footnoteReference w:id="14"/>
      </w:r>
    </w:p>
    <w:p w14:paraId="4A38E3AB" w14:textId="353889B2" w:rsidR="00B53585" w:rsidRPr="007235D0" w:rsidRDefault="00B53585" w:rsidP="00B53585">
      <w:pPr>
        <w:rPr>
          <w:b/>
          <w:color w:val="000000" w:themeColor="text1"/>
          <w:sz w:val="24"/>
        </w:rPr>
      </w:pPr>
      <w:r w:rsidRPr="007235D0">
        <w:rPr>
          <w:b/>
          <w:color w:val="000000" w:themeColor="text1"/>
          <w:sz w:val="24"/>
        </w:rPr>
        <w:t>Distributional impact</w:t>
      </w:r>
    </w:p>
    <w:p w14:paraId="554593E5" w14:textId="68322950" w:rsidR="00444B08" w:rsidRDefault="00D00545">
      <w:r w:rsidRPr="00D00545">
        <w:t xml:space="preserve">The Women’s Budget Group and the Runnymede Trust analysed the distributional impact of </w:t>
      </w:r>
      <w:r w:rsidR="00594B57">
        <w:t>the</w:t>
      </w:r>
      <w:r w:rsidRPr="00D00545">
        <w:t xml:space="preserve"> changes to U</w:t>
      </w:r>
      <w:r w:rsidR="00CB34AF">
        <w:t>C</w:t>
      </w:r>
      <w:r w:rsidRPr="00D00545">
        <w:t xml:space="preserve"> announced in 2015 and 2</w:t>
      </w:r>
      <w:r w:rsidR="00594B57">
        <w:t>016.</w:t>
      </w:r>
      <w:r w:rsidR="00D81A16">
        <w:rPr>
          <w:rStyle w:val="FootnoteReference"/>
        </w:rPr>
        <w:footnoteReference w:id="15"/>
      </w:r>
      <w:r w:rsidR="00594B57">
        <w:t xml:space="preserve"> We found that:</w:t>
      </w:r>
    </w:p>
    <w:p w14:paraId="3FB7EB93" w14:textId="4144E6A4" w:rsidR="00594B57" w:rsidRDefault="00594B57" w:rsidP="00594B57">
      <w:pPr>
        <w:pStyle w:val="ListParagraph"/>
        <w:numPr>
          <w:ilvl w:val="0"/>
          <w:numId w:val="3"/>
        </w:numPr>
      </w:pPr>
      <w:r w:rsidRPr="00594B57">
        <w:rPr>
          <w:b/>
        </w:rPr>
        <w:t>Low-paid workers were hardest hit</w:t>
      </w:r>
      <w:r>
        <w:t xml:space="preserve"> by </w:t>
      </w:r>
      <w:r w:rsidR="00CB34AF">
        <w:t xml:space="preserve">the </w:t>
      </w:r>
      <w:r>
        <w:t>2015 and 2016 changes to UC.</w:t>
      </w:r>
    </w:p>
    <w:p w14:paraId="70E4D06D" w14:textId="2F786AC3" w:rsidR="00594B57" w:rsidRDefault="00594B57" w:rsidP="00594B57">
      <w:pPr>
        <w:pStyle w:val="ListParagraph"/>
        <w:numPr>
          <w:ilvl w:val="0"/>
          <w:numId w:val="3"/>
        </w:numPr>
      </w:pPr>
      <w:r w:rsidRPr="00594B57">
        <w:rPr>
          <w:b/>
        </w:rPr>
        <w:t xml:space="preserve">Employed claimants </w:t>
      </w:r>
      <w:r>
        <w:rPr>
          <w:b/>
        </w:rPr>
        <w:t>will</w:t>
      </w:r>
      <w:r w:rsidRPr="00594B57">
        <w:rPr>
          <w:b/>
        </w:rPr>
        <w:t xml:space="preserve"> be £1200 worse off</w:t>
      </w:r>
      <w:r>
        <w:t xml:space="preserve"> per year by April 2021 compared with the original design of UC; </w:t>
      </w:r>
      <w:r w:rsidRPr="00594B57">
        <w:rPr>
          <w:b/>
        </w:rPr>
        <w:t>unemployed claimants will be £500 worse off</w:t>
      </w:r>
      <w:r w:rsidR="007235D0">
        <w:t xml:space="preserve"> (see Figure 1).</w:t>
      </w:r>
    </w:p>
    <w:p w14:paraId="73F48390" w14:textId="6767DAFF" w:rsidR="007235D0" w:rsidRDefault="00594B57" w:rsidP="007235D0">
      <w:pPr>
        <w:pStyle w:val="ListParagraph"/>
        <w:numPr>
          <w:ilvl w:val="0"/>
          <w:numId w:val="3"/>
        </w:numPr>
      </w:pPr>
      <w:r>
        <w:t>Women on average</w:t>
      </w:r>
      <w:r w:rsidR="006906B1">
        <w:t xml:space="preserve"> will lose more</w:t>
      </w:r>
      <w:r>
        <w:t xml:space="preserve"> than men: </w:t>
      </w:r>
      <w:r w:rsidRPr="006906B1">
        <w:rPr>
          <w:b/>
        </w:rPr>
        <w:t>employed women will lose £1400</w:t>
      </w:r>
      <w:r>
        <w:t xml:space="preserve"> of their yearly income, with </w:t>
      </w:r>
      <w:r w:rsidR="00CB34AF">
        <w:t xml:space="preserve">a </w:t>
      </w:r>
      <w:r w:rsidRPr="006906B1">
        <w:rPr>
          <w:b/>
        </w:rPr>
        <w:t xml:space="preserve">£600 </w:t>
      </w:r>
      <w:r w:rsidR="00CB34AF">
        <w:rPr>
          <w:b/>
        </w:rPr>
        <w:t xml:space="preserve">loss </w:t>
      </w:r>
      <w:r w:rsidRPr="006906B1">
        <w:rPr>
          <w:b/>
        </w:rPr>
        <w:t>for unemployed women</w:t>
      </w:r>
      <w:r>
        <w:t xml:space="preserve">. </w:t>
      </w:r>
      <w:r w:rsidRPr="006906B1">
        <w:rPr>
          <w:b/>
        </w:rPr>
        <w:t xml:space="preserve">Employed </w:t>
      </w:r>
      <w:r w:rsidR="006906B1" w:rsidRPr="006906B1">
        <w:rPr>
          <w:b/>
        </w:rPr>
        <w:t xml:space="preserve">black </w:t>
      </w:r>
      <w:r w:rsidRPr="006906B1">
        <w:rPr>
          <w:b/>
        </w:rPr>
        <w:t>women will lose the most: £1500</w:t>
      </w:r>
      <w:r w:rsidR="007235D0">
        <w:t xml:space="preserve"> (see Figure 1).</w:t>
      </w:r>
    </w:p>
    <w:p w14:paraId="5856D6F1" w14:textId="209C72DB" w:rsidR="007235D0" w:rsidRPr="007235D0" w:rsidRDefault="007235D0" w:rsidP="007235D0">
      <w:pPr>
        <w:ind w:left="360"/>
        <w:rPr>
          <w:b/>
          <w:sz w:val="18"/>
          <w:szCs w:val="18"/>
        </w:rPr>
      </w:pPr>
      <w:r>
        <w:rPr>
          <w:noProof/>
          <w:lang w:eastAsia="en-GB"/>
        </w:rPr>
        <w:drawing>
          <wp:anchor distT="0" distB="0" distL="114300" distR="114300" simplePos="0" relativeHeight="251659264" behindDoc="1" locked="0" layoutInCell="1" allowOverlap="1" wp14:anchorId="018F21AD" wp14:editId="5E0FD648">
            <wp:simplePos x="0" y="0"/>
            <wp:positionH relativeFrom="column">
              <wp:posOffset>737235</wp:posOffset>
            </wp:positionH>
            <wp:positionV relativeFrom="paragraph">
              <wp:posOffset>228600</wp:posOffset>
            </wp:positionV>
            <wp:extent cx="4623435" cy="2504440"/>
            <wp:effectExtent l="0" t="0" r="24765" b="1016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b/>
          <w:sz w:val="18"/>
          <w:szCs w:val="18"/>
        </w:rPr>
        <w:t xml:space="preserve">                   </w:t>
      </w:r>
      <w:r w:rsidRPr="007235D0">
        <w:rPr>
          <w:b/>
          <w:sz w:val="18"/>
          <w:szCs w:val="18"/>
        </w:rPr>
        <w:t xml:space="preserve">Figure 1: Individual impact of changes to UC by gender, ethnicity and employment status </w:t>
      </w:r>
    </w:p>
    <w:p w14:paraId="16594917" w14:textId="463C2295" w:rsidR="007235D0" w:rsidRPr="007235D0" w:rsidRDefault="007235D0" w:rsidP="007235D0">
      <w:pPr>
        <w:ind w:left="360"/>
        <w:rPr>
          <w:b/>
          <w:sz w:val="18"/>
          <w:szCs w:val="18"/>
        </w:rPr>
      </w:pPr>
    </w:p>
    <w:p w14:paraId="1AA17107" w14:textId="40DEB405" w:rsidR="007235D0" w:rsidRDefault="007235D0" w:rsidP="007235D0">
      <w:pPr>
        <w:pStyle w:val="ListParagraph"/>
      </w:pPr>
    </w:p>
    <w:p w14:paraId="0A6AD028" w14:textId="77777777" w:rsidR="00D81A16" w:rsidRDefault="00D81A16" w:rsidP="00D81A16"/>
    <w:p w14:paraId="4ED0B9D3" w14:textId="77777777" w:rsidR="00D81A16" w:rsidRDefault="00D81A16" w:rsidP="00D81A16"/>
    <w:p w14:paraId="5B7965AF" w14:textId="77777777" w:rsidR="007235D0" w:rsidRDefault="007235D0" w:rsidP="00D81A16"/>
    <w:p w14:paraId="5B3EC7EF" w14:textId="77777777" w:rsidR="007235D0" w:rsidRDefault="007235D0" w:rsidP="00D81A16"/>
    <w:p w14:paraId="1289021B" w14:textId="77777777" w:rsidR="007235D0" w:rsidRDefault="007235D0" w:rsidP="00D81A16"/>
    <w:p w14:paraId="2D2276F7" w14:textId="77777777" w:rsidR="007235D0" w:rsidRDefault="007235D0" w:rsidP="00D81A16"/>
    <w:p w14:paraId="1E3A9B34" w14:textId="77777777" w:rsidR="007235D0" w:rsidRDefault="007235D0" w:rsidP="00D81A16"/>
    <w:p w14:paraId="577B540F" w14:textId="092BAA8D" w:rsidR="00594B57" w:rsidRDefault="00594B57" w:rsidP="00594B57">
      <w:pPr>
        <w:pStyle w:val="ListParagraph"/>
        <w:numPr>
          <w:ilvl w:val="0"/>
          <w:numId w:val="3"/>
        </w:numPr>
      </w:pPr>
      <w:r w:rsidRPr="006906B1">
        <w:rPr>
          <w:b/>
        </w:rPr>
        <w:t>Families with three children</w:t>
      </w:r>
      <w:r>
        <w:t xml:space="preserve"> or more stand </w:t>
      </w:r>
      <w:r w:rsidRPr="006906B1">
        <w:rPr>
          <w:b/>
        </w:rPr>
        <w:t>to lose £2,600</w:t>
      </w:r>
      <w:r>
        <w:t xml:space="preserve">, with </w:t>
      </w:r>
      <w:r w:rsidRPr="006906B1">
        <w:t>£1,200 coming from the two-child cap</w:t>
      </w:r>
      <w:r w:rsidR="007235D0">
        <w:t xml:space="preserve"> (see Figure 2</w:t>
      </w:r>
      <w:r w:rsidR="00D81A16">
        <w:t>).</w:t>
      </w:r>
    </w:p>
    <w:p w14:paraId="725B9DB7" w14:textId="147F48E0" w:rsidR="00594B57" w:rsidRDefault="00594B57" w:rsidP="00594B57">
      <w:pPr>
        <w:pStyle w:val="ListParagraph"/>
        <w:numPr>
          <w:ilvl w:val="0"/>
          <w:numId w:val="3"/>
        </w:numPr>
      </w:pPr>
      <w:r>
        <w:lastRenderedPageBreak/>
        <w:t xml:space="preserve">It is employed families that lose the most: </w:t>
      </w:r>
      <w:r w:rsidR="00CB34AF">
        <w:t>families with 3 or more</w:t>
      </w:r>
      <w:r w:rsidRPr="006906B1">
        <w:rPr>
          <w:b/>
        </w:rPr>
        <w:t xml:space="preserve"> children with one earner will be £3891 </w:t>
      </w:r>
      <w:r w:rsidR="00CB34AF">
        <w:rPr>
          <w:b/>
        </w:rPr>
        <w:t xml:space="preserve">per year </w:t>
      </w:r>
      <w:r w:rsidRPr="006906B1">
        <w:rPr>
          <w:b/>
        </w:rPr>
        <w:t>worse off</w:t>
      </w:r>
      <w:r>
        <w:t xml:space="preserve">, while families with </w:t>
      </w:r>
      <w:r w:rsidRPr="006906B1">
        <w:rPr>
          <w:b/>
        </w:rPr>
        <w:t>two earners will be £3287</w:t>
      </w:r>
      <w:r w:rsidR="007235D0">
        <w:t xml:space="preserve"> worse off (see Figure 2</w:t>
      </w:r>
      <w:r w:rsidR="00D81A16">
        <w:t>).</w:t>
      </w:r>
    </w:p>
    <w:p w14:paraId="013690F0" w14:textId="08F4A8C0" w:rsidR="00D81A16" w:rsidRPr="00D81A16" w:rsidRDefault="007235D0" w:rsidP="00D81A16">
      <w:pPr>
        <w:ind w:left="360"/>
        <w:rPr>
          <w:b/>
          <w:sz w:val="18"/>
          <w:szCs w:val="18"/>
        </w:rPr>
      </w:pPr>
      <w:bookmarkStart w:id="0" w:name="_GoBack"/>
      <w:bookmarkEnd w:id="0"/>
      <w:r>
        <w:rPr>
          <w:b/>
          <w:sz w:val="18"/>
          <w:szCs w:val="18"/>
        </w:rPr>
        <w:t>Figure 2</w:t>
      </w:r>
      <w:r w:rsidR="00D81A16">
        <w:rPr>
          <w:b/>
          <w:sz w:val="18"/>
          <w:szCs w:val="18"/>
        </w:rPr>
        <w:t>.</w:t>
      </w:r>
      <w:r w:rsidR="00D81A16" w:rsidRPr="00D81A16">
        <w:rPr>
          <w:b/>
          <w:sz w:val="18"/>
          <w:szCs w:val="18"/>
        </w:rPr>
        <w:t xml:space="preserve"> Household impact of changes to Universal Credit by employment status and number of children in household </w:t>
      </w:r>
    </w:p>
    <w:p w14:paraId="2562F186" w14:textId="12E5F7F9" w:rsidR="00D81A16" w:rsidRDefault="00D81A16" w:rsidP="00D81A16">
      <w:r>
        <w:rPr>
          <w:noProof/>
          <w:lang w:eastAsia="en-GB"/>
        </w:rPr>
        <w:drawing>
          <wp:anchor distT="0" distB="0" distL="114300" distR="114300" simplePos="0" relativeHeight="251658240" behindDoc="1" locked="0" layoutInCell="1" allowOverlap="1" wp14:anchorId="710E450B" wp14:editId="1CEF4E15">
            <wp:simplePos x="0" y="0"/>
            <wp:positionH relativeFrom="column">
              <wp:posOffset>852805</wp:posOffset>
            </wp:positionH>
            <wp:positionV relativeFrom="paragraph">
              <wp:posOffset>45720</wp:posOffset>
            </wp:positionV>
            <wp:extent cx="3823335" cy="2297180"/>
            <wp:effectExtent l="0" t="0" r="0" b="0"/>
            <wp:wrapNone/>
            <wp:docPr id="2" name="Picture 2" descr="cid:4dbefa42-b260-4b9d-8c04-c7b3d44e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6478" descr="cid:4dbefa42-b260-4b9d-8c04-c7b3d44e508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23335" cy="2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86D35" w14:textId="40C7E4CA" w:rsidR="00D81A16" w:rsidRDefault="00D81A16" w:rsidP="00D81A16">
      <w:pPr>
        <w:pStyle w:val="ListParagraph"/>
      </w:pPr>
    </w:p>
    <w:p w14:paraId="33F2B5D6" w14:textId="77777777" w:rsidR="00D81A16" w:rsidRDefault="00D81A16" w:rsidP="00594B57"/>
    <w:p w14:paraId="10B56282" w14:textId="77777777" w:rsidR="00D81A16" w:rsidRDefault="00D81A16" w:rsidP="00594B57"/>
    <w:p w14:paraId="1990C52F" w14:textId="77777777" w:rsidR="00D81A16" w:rsidRDefault="00D81A16" w:rsidP="00594B57"/>
    <w:p w14:paraId="61E95924" w14:textId="77777777" w:rsidR="00D81A16" w:rsidRDefault="00D81A16" w:rsidP="00594B57"/>
    <w:p w14:paraId="500D9557" w14:textId="77777777" w:rsidR="00D81A16" w:rsidRDefault="00D81A16" w:rsidP="00594B57"/>
    <w:p w14:paraId="34270D96" w14:textId="77777777" w:rsidR="00D81A16" w:rsidRDefault="00D81A16" w:rsidP="00594B57"/>
    <w:p w14:paraId="2F5BAB0B" w14:textId="77777777" w:rsidR="00D81A16" w:rsidRDefault="00D81A16" w:rsidP="00594B57"/>
    <w:p w14:paraId="5B700930" w14:textId="721B6342" w:rsidR="00594B57" w:rsidRDefault="00594B57" w:rsidP="00594B57">
      <w:r>
        <w:t xml:space="preserve">Finally, it is worth noting that </w:t>
      </w:r>
      <w:r w:rsidRPr="00D81A16">
        <w:rPr>
          <w:b/>
        </w:rPr>
        <w:t xml:space="preserve">changes to the national living wage and income tax </w:t>
      </w:r>
      <w:r w:rsidRPr="00D81A16">
        <w:t>since 2010</w:t>
      </w:r>
      <w:r w:rsidRPr="00D81A16">
        <w:rPr>
          <w:b/>
        </w:rPr>
        <w:t xml:space="preserve"> </w:t>
      </w:r>
      <w:r w:rsidRPr="00D81A16">
        <w:rPr>
          <w:b/>
          <w:i/>
        </w:rPr>
        <w:t>will not</w:t>
      </w:r>
      <w:r w:rsidRPr="00D81A16">
        <w:rPr>
          <w:b/>
        </w:rPr>
        <w:t xml:space="preserve"> compensate</w:t>
      </w:r>
      <w:r w:rsidR="00CB34AF">
        <w:rPr>
          <w:b/>
        </w:rPr>
        <w:t xml:space="preserve"> for</w:t>
      </w:r>
      <w:r w:rsidRPr="00D81A16">
        <w:rPr>
          <w:b/>
        </w:rPr>
        <w:t xml:space="preserve"> </w:t>
      </w:r>
      <w:r>
        <w:t>the chang</w:t>
      </w:r>
      <w:r w:rsidR="00D81A16">
        <w:t>es that U</w:t>
      </w:r>
      <w:r w:rsidR="00CB34AF">
        <w:t>C</w:t>
      </w:r>
      <w:r w:rsidR="00D81A16">
        <w:t xml:space="preserve"> brings. Figure 3 illustrates this:</w:t>
      </w:r>
    </w:p>
    <w:p w14:paraId="702BD151" w14:textId="4F5C25D6" w:rsidR="00D81A16" w:rsidRDefault="00594B57" w:rsidP="00D81A16">
      <w:pPr>
        <w:pStyle w:val="ListParagraph"/>
        <w:numPr>
          <w:ilvl w:val="0"/>
          <w:numId w:val="3"/>
        </w:numPr>
      </w:pPr>
      <w:r>
        <w:t>5.9 million women in UC-eligible house</w:t>
      </w:r>
      <w:r w:rsidR="00CB34AF">
        <w:t>hold</w:t>
      </w:r>
      <w:r>
        <w:t>s will lose £4406 by April 2021 from the combined impact of benefit and tax changes since 2010.</w:t>
      </w:r>
    </w:p>
    <w:p w14:paraId="44661873" w14:textId="608EC5B1" w:rsidR="007235D0" w:rsidRPr="007235D0" w:rsidRDefault="007235D0" w:rsidP="007235D0">
      <w:pPr>
        <w:rPr>
          <w:b/>
          <w:sz w:val="18"/>
          <w:szCs w:val="18"/>
        </w:rPr>
      </w:pPr>
      <w:r>
        <w:rPr>
          <w:noProof/>
          <w:lang w:eastAsia="en-GB"/>
        </w:rPr>
        <w:drawing>
          <wp:anchor distT="0" distB="0" distL="114300" distR="114300" simplePos="0" relativeHeight="251660288" behindDoc="1" locked="0" layoutInCell="1" allowOverlap="1" wp14:anchorId="3F60864F" wp14:editId="5265B909">
            <wp:simplePos x="0" y="0"/>
            <wp:positionH relativeFrom="column">
              <wp:posOffset>626534</wp:posOffset>
            </wp:positionH>
            <wp:positionV relativeFrom="paragraph">
              <wp:posOffset>373380</wp:posOffset>
            </wp:positionV>
            <wp:extent cx="4111202" cy="2288540"/>
            <wp:effectExtent l="0" t="0" r="3810" b="2286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b/>
          <w:sz w:val="18"/>
          <w:szCs w:val="18"/>
        </w:rPr>
        <w:t>Figure 3.</w:t>
      </w:r>
      <w:r w:rsidRPr="007235D0">
        <w:rPr>
          <w:b/>
          <w:sz w:val="18"/>
          <w:szCs w:val="18"/>
        </w:rPr>
        <w:t xml:space="preserve"> Contribution of different benefit and tax changes since 2010 to the cumulative impact on net income by April 2021, by gender, ethnicity and employment status</w:t>
      </w:r>
    </w:p>
    <w:p w14:paraId="1BC4C5AD" w14:textId="563C5128" w:rsidR="007235D0" w:rsidRDefault="007235D0" w:rsidP="007235D0"/>
    <w:p w14:paraId="220F6A19" w14:textId="77777777" w:rsidR="007235D0" w:rsidRDefault="007235D0" w:rsidP="00D81A16"/>
    <w:p w14:paraId="6A0CD0B4" w14:textId="77777777" w:rsidR="003E3528" w:rsidRDefault="003E3528" w:rsidP="003E3528">
      <w:pPr>
        <w:rPr>
          <w:b/>
        </w:rPr>
      </w:pPr>
    </w:p>
    <w:p w14:paraId="08AF8686" w14:textId="77777777" w:rsidR="003E3528" w:rsidRDefault="003E3528" w:rsidP="003E3528">
      <w:pPr>
        <w:rPr>
          <w:b/>
        </w:rPr>
      </w:pPr>
    </w:p>
    <w:p w14:paraId="50C88331" w14:textId="77777777" w:rsidR="003E3528" w:rsidRDefault="003E3528" w:rsidP="003E3528">
      <w:pPr>
        <w:rPr>
          <w:b/>
        </w:rPr>
      </w:pPr>
    </w:p>
    <w:p w14:paraId="375DD7B4" w14:textId="77777777" w:rsidR="003E3528" w:rsidRDefault="003E3528" w:rsidP="003E3528">
      <w:pPr>
        <w:rPr>
          <w:b/>
        </w:rPr>
      </w:pPr>
    </w:p>
    <w:p w14:paraId="6A8FAD71" w14:textId="77777777" w:rsidR="00A10739" w:rsidRDefault="00A10739" w:rsidP="003E3528">
      <w:pPr>
        <w:rPr>
          <w:b/>
        </w:rPr>
      </w:pPr>
    </w:p>
    <w:p w14:paraId="6042FC9A" w14:textId="77777777" w:rsidR="007235D0" w:rsidRDefault="007235D0" w:rsidP="003E3528">
      <w:pPr>
        <w:rPr>
          <w:b/>
        </w:rPr>
      </w:pPr>
    </w:p>
    <w:p w14:paraId="55D93F8F" w14:textId="77777777" w:rsidR="003E3528" w:rsidRDefault="003E3528" w:rsidP="003E3528">
      <w:pPr>
        <w:rPr>
          <w:b/>
        </w:rPr>
      </w:pPr>
    </w:p>
    <w:p w14:paraId="303B5255" w14:textId="77777777" w:rsidR="003E3528" w:rsidRPr="007235D0" w:rsidRDefault="003E3528" w:rsidP="003E3528">
      <w:pPr>
        <w:rPr>
          <w:b/>
          <w:sz w:val="18"/>
          <w:szCs w:val="18"/>
        </w:rPr>
      </w:pPr>
      <w:r w:rsidRPr="007235D0">
        <w:rPr>
          <w:b/>
          <w:sz w:val="18"/>
          <w:szCs w:val="18"/>
        </w:rPr>
        <w:t>UK Women’s Budget Group, November 2017.</w:t>
      </w:r>
    </w:p>
    <w:p w14:paraId="6ED2412C" w14:textId="77777777" w:rsidR="003E3528" w:rsidRPr="007235D0" w:rsidRDefault="003E3528" w:rsidP="003E3528">
      <w:pPr>
        <w:pStyle w:val="Default"/>
        <w:spacing w:after="160" w:line="259" w:lineRule="auto"/>
        <w:rPr>
          <w:sz w:val="18"/>
          <w:szCs w:val="18"/>
        </w:rPr>
      </w:pPr>
      <w:r w:rsidRPr="007235D0">
        <w:rPr>
          <w:rFonts w:asciiTheme="minorHAnsi" w:hAnsiTheme="minorHAnsi"/>
          <w:sz w:val="18"/>
          <w:szCs w:val="18"/>
        </w:rPr>
        <w:t xml:space="preserve">WBG is an independent, voluntary organisation made up of individuals from Academia, NGOs and trade unions. See </w:t>
      </w:r>
      <w:hyperlink r:id="rId12" w:history="1">
        <w:r w:rsidRPr="007235D0">
          <w:rPr>
            <w:rStyle w:val="Hyperlink"/>
            <w:rFonts w:asciiTheme="minorHAnsi" w:hAnsiTheme="minorHAnsi"/>
            <w:sz w:val="18"/>
            <w:szCs w:val="18"/>
          </w:rPr>
          <w:t>www.wbg.org.uk</w:t>
        </w:r>
      </w:hyperlink>
    </w:p>
    <w:p w14:paraId="131B1AF7" w14:textId="77777777" w:rsidR="003E3528" w:rsidRPr="007235D0" w:rsidRDefault="003E3528" w:rsidP="003E3528">
      <w:pPr>
        <w:pStyle w:val="Default"/>
        <w:spacing w:after="160" w:line="259" w:lineRule="auto"/>
        <w:rPr>
          <w:rFonts w:asciiTheme="minorHAnsi" w:hAnsiTheme="minorHAnsi"/>
          <w:sz w:val="18"/>
          <w:szCs w:val="18"/>
        </w:rPr>
      </w:pPr>
      <w:r w:rsidRPr="007235D0">
        <w:rPr>
          <w:rFonts w:asciiTheme="minorHAnsi" w:hAnsiTheme="minorHAnsi"/>
          <w:b/>
          <w:sz w:val="18"/>
          <w:szCs w:val="18"/>
        </w:rPr>
        <w:t>Contact:</w:t>
      </w:r>
      <w:r w:rsidRPr="007235D0">
        <w:rPr>
          <w:rFonts w:asciiTheme="minorHAnsi" w:hAnsiTheme="minorHAnsi"/>
          <w:sz w:val="18"/>
          <w:szCs w:val="18"/>
        </w:rPr>
        <w:t xml:space="preserve"> Mary-Ann Stephenson (WBG Co-Director):</w:t>
      </w:r>
    </w:p>
    <w:p w14:paraId="59961392" w14:textId="418ED8B1" w:rsidR="009F129F" w:rsidRPr="007235D0" w:rsidRDefault="003D6176">
      <w:pPr>
        <w:rPr>
          <w:sz w:val="18"/>
          <w:szCs w:val="18"/>
        </w:rPr>
      </w:pPr>
      <w:hyperlink r:id="rId13" w:history="1">
        <w:r w:rsidR="003E3528" w:rsidRPr="007235D0">
          <w:rPr>
            <w:rStyle w:val="Hyperlink"/>
            <w:sz w:val="18"/>
            <w:szCs w:val="18"/>
          </w:rPr>
          <w:t>maryann.stephenson@wbg.org.uk</w:t>
        </w:r>
      </w:hyperlink>
    </w:p>
    <w:sectPr w:rsidR="009F129F" w:rsidRPr="007235D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FEDF" w14:textId="77777777" w:rsidR="003D6176" w:rsidRDefault="003D6176" w:rsidP="009F129F">
      <w:pPr>
        <w:spacing w:after="0" w:line="240" w:lineRule="auto"/>
      </w:pPr>
      <w:r>
        <w:separator/>
      </w:r>
    </w:p>
  </w:endnote>
  <w:endnote w:type="continuationSeparator" w:id="0">
    <w:p w14:paraId="33DE47D9" w14:textId="77777777" w:rsidR="003D6176" w:rsidRDefault="003D6176" w:rsidP="009F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B5E" w14:textId="078FC760" w:rsidR="007235D0" w:rsidRDefault="0072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7E7D" w14:textId="77777777" w:rsidR="003D6176" w:rsidRDefault="003D6176" w:rsidP="009F129F">
      <w:pPr>
        <w:spacing w:after="0" w:line="240" w:lineRule="auto"/>
      </w:pPr>
      <w:r>
        <w:separator/>
      </w:r>
    </w:p>
  </w:footnote>
  <w:footnote w:type="continuationSeparator" w:id="0">
    <w:p w14:paraId="0D6AF854" w14:textId="77777777" w:rsidR="003D6176" w:rsidRDefault="003D6176" w:rsidP="009F129F">
      <w:pPr>
        <w:spacing w:after="0" w:line="240" w:lineRule="auto"/>
      </w:pPr>
      <w:r>
        <w:continuationSeparator/>
      </w:r>
    </w:p>
  </w:footnote>
  <w:footnote w:id="1">
    <w:p w14:paraId="2ACF1694" w14:textId="73BD85DF" w:rsidR="009F129F" w:rsidRPr="009F129F" w:rsidRDefault="009F129F">
      <w:pPr>
        <w:pStyle w:val="FootnoteText"/>
        <w:rPr>
          <w:sz w:val="18"/>
          <w:szCs w:val="18"/>
        </w:rPr>
      </w:pPr>
      <w:r w:rsidRPr="009F129F">
        <w:rPr>
          <w:rStyle w:val="FootnoteReference"/>
          <w:sz w:val="18"/>
          <w:szCs w:val="18"/>
        </w:rPr>
        <w:footnoteRef/>
      </w:r>
      <w:r w:rsidRPr="009F129F">
        <w:rPr>
          <w:sz w:val="18"/>
          <w:szCs w:val="18"/>
        </w:rPr>
        <w:t xml:space="preserve"> Department for Work and Pensions (2015) </w:t>
      </w:r>
      <w:r w:rsidRPr="009F129F">
        <w:rPr>
          <w:i/>
          <w:sz w:val="18"/>
          <w:szCs w:val="18"/>
        </w:rPr>
        <w:t>2010 to 2015 government policy: welfare reform</w:t>
      </w:r>
      <w:r w:rsidRPr="009F129F">
        <w:rPr>
          <w:sz w:val="18"/>
          <w:szCs w:val="18"/>
        </w:rPr>
        <w:t xml:space="preserve"> (</w:t>
      </w:r>
      <w:hyperlink r:id="rId1" w:history="1">
        <w:r w:rsidRPr="009F129F">
          <w:rPr>
            <w:rStyle w:val="Hyperlink"/>
            <w:sz w:val="18"/>
            <w:szCs w:val="18"/>
          </w:rPr>
          <w:t>http://bit.ly/2jeG7ES</w:t>
        </w:r>
      </w:hyperlink>
      <w:r w:rsidRPr="009F129F">
        <w:rPr>
          <w:sz w:val="18"/>
          <w:szCs w:val="18"/>
        </w:rPr>
        <w:t xml:space="preserve">) </w:t>
      </w:r>
    </w:p>
  </w:footnote>
  <w:footnote w:id="2">
    <w:p w14:paraId="33B9C071" w14:textId="77777777" w:rsidR="0024210E" w:rsidRPr="0074538F" w:rsidRDefault="0024210E" w:rsidP="0024210E">
      <w:pPr>
        <w:pStyle w:val="FootnoteText"/>
        <w:rPr>
          <w:sz w:val="18"/>
          <w:szCs w:val="18"/>
        </w:rPr>
      </w:pPr>
      <w:r w:rsidRPr="0074538F">
        <w:rPr>
          <w:rStyle w:val="FootnoteReference"/>
          <w:sz w:val="18"/>
          <w:szCs w:val="18"/>
        </w:rPr>
        <w:footnoteRef/>
      </w:r>
      <w:r w:rsidRPr="0074538F">
        <w:rPr>
          <w:sz w:val="18"/>
          <w:szCs w:val="18"/>
        </w:rPr>
        <w:t xml:space="preserve"> Child Poverty Action Group (2012) </w:t>
      </w:r>
      <w:r w:rsidRPr="0074538F">
        <w:rPr>
          <w:i/>
          <w:sz w:val="18"/>
          <w:szCs w:val="18"/>
        </w:rPr>
        <w:t>Universal credit: monthly awards</w:t>
      </w:r>
      <w:r w:rsidRPr="0074538F">
        <w:rPr>
          <w:sz w:val="18"/>
          <w:szCs w:val="18"/>
        </w:rPr>
        <w:t xml:space="preserve"> (</w:t>
      </w:r>
      <w:hyperlink r:id="rId2" w:history="1">
        <w:r w:rsidRPr="0074538F">
          <w:rPr>
            <w:rStyle w:val="Hyperlink"/>
            <w:sz w:val="18"/>
            <w:szCs w:val="18"/>
          </w:rPr>
          <w:t>http://bit.ly/2z95Mpt</w:t>
        </w:r>
      </w:hyperlink>
      <w:r w:rsidRPr="0074538F">
        <w:rPr>
          <w:sz w:val="18"/>
          <w:szCs w:val="18"/>
        </w:rPr>
        <w:t xml:space="preserve">) </w:t>
      </w:r>
    </w:p>
  </w:footnote>
  <w:footnote w:id="3">
    <w:p w14:paraId="3B995B63" w14:textId="7DC2EFFA" w:rsidR="008838BF" w:rsidRPr="008838BF" w:rsidRDefault="008838BF">
      <w:pPr>
        <w:pStyle w:val="FootnoteText"/>
        <w:rPr>
          <w:sz w:val="18"/>
          <w:szCs w:val="18"/>
        </w:rPr>
      </w:pPr>
      <w:r w:rsidRPr="008838BF">
        <w:rPr>
          <w:rStyle w:val="FootnoteReference"/>
          <w:sz w:val="18"/>
          <w:szCs w:val="18"/>
        </w:rPr>
        <w:footnoteRef/>
      </w:r>
      <w:r w:rsidRPr="008838BF">
        <w:rPr>
          <w:sz w:val="18"/>
          <w:szCs w:val="18"/>
        </w:rPr>
        <w:t xml:space="preserve"> Resolution Foundation (2013) </w:t>
      </w:r>
      <w:r w:rsidRPr="008838BF">
        <w:rPr>
          <w:i/>
          <w:sz w:val="18"/>
          <w:szCs w:val="18"/>
        </w:rPr>
        <w:t>Squeezed Britain</w:t>
      </w:r>
      <w:r w:rsidRPr="008838BF">
        <w:rPr>
          <w:sz w:val="18"/>
          <w:szCs w:val="18"/>
        </w:rPr>
        <w:t xml:space="preserve"> (</w:t>
      </w:r>
      <w:hyperlink r:id="rId3" w:history="1">
        <w:r w:rsidRPr="008838BF">
          <w:rPr>
            <w:rStyle w:val="Hyperlink"/>
            <w:sz w:val="18"/>
            <w:szCs w:val="18"/>
          </w:rPr>
          <w:t>http://bit.ly/2zVzWjC</w:t>
        </w:r>
      </w:hyperlink>
      <w:r w:rsidRPr="008838BF">
        <w:rPr>
          <w:sz w:val="18"/>
          <w:szCs w:val="18"/>
        </w:rPr>
        <w:t xml:space="preserve">) </w:t>
      </w:r>
    </w:p>
  </w:footnote>
  <w:footnote w:id="4">
    <w:p w14:paraId="38E4C17B" w14:textId="69F99190" w:rsidR="005A341A" w:rsidRPr="001857E5" w:rsidRDefault="005A341A" w:rsidP="001857E5">
      <w:pPr>
        <w:pStyle w:val="NoSpacing"/>
        <w:rPr>
          <w:sz w:val="18"/>
          <w:szCs w:val="18"/>
        </w:rPr>
      </w:pPr>
      <w:r w:rsidRPr="001857E5">
        <w:rPr>
          <w:rStyle w:val="FootnoteReference"/>
          <w:sz w:val="18"/>
          <w:szCs w:val="18"/>
        </w:rPr>
        <w:footnoteRef/>
      </w:r>
      <w:r w:rsidRPr="001857E5">
        <w:rPr>
          <w:sz w:val="18"/>
          <w:szCs w:val="18"/>
        </w:rPr>
        <w:t xml:space="preserve"> WBG (2017) </w:t>
      </w:r>
      <w:r w:rsidRPr="001857E5">
        <w:rPr>
          <w:i/>
          <w:sz w:val="18"/>
          <w:szCs w:val="18"/>
        </w:rPr>
        <w:t>Scottish Government commits to splitting payments of Universal Credit</w:t>
      </w:r>
      <w:r w:rsidRPr="001857E5">
        <w:rPr>
          <w:sz w:val="18"/>
          <w:szCs w:val="18"/>
        </w:rPr>
        <w:t xml:space="preserve"> (</w:t>
      </w:r>
      <w:hyperlink r:id="rId4" w:history="1">
        <w:r w:rsidRPr="001857E5">
          <w:rPr>
            <w:rStyle w:val="Hyperlink"/>
            <w:sz w:val="18"/>
            <w:szCs w:val="18"/>
          </w:rPr>
          <w:t>http://bit.ly/2zU2euO</w:t>
        </w:r>
      </w:hyperlink>
      <w:r w:rsidRPr="001857E5">
        <w:rPr>
          <w:sz w:val="18"/>
          <w:szCs w:val="18"/>
        </w:rPr>
        <w:t xml:space="preserve">) </w:t>
      </w:r>
    </w:p>
  </w:footnote>
  <w:footnote w:id="5">
    <w:p w14:paraId="3BCFF37A" w14:textId="6D5E9BB6" w:rsidR="008D0C70" w:rsidRPr="00DE2F5B" w:rsidRDefault="008D0C70">
      <w:pPr>
        <w:pStyle w:val="FootnoteText"/>
        <w:rPr>
          <w:sz w:val="18"/>
          <w:szCs w:val="18"/>
        </w:rPr>
      </w:pPr>
      <w:r w:rsidRPr="00DE2F5B">
        <w:rPr>
          <w:rStyle w:val="FootnoteReference"/>
          <w:sz w:val="18"/>
          <w:szCs w:val="18"/>
        </w:rPr>
        <w:footnoteRef/>
      </w:r>
      <w:r w:rsidRPr="00DE2F5B">
        <w:rPr>
          <w:sz w:val="18"/>
          <w:szCs w:val="18"/>
        </w:rPr>
        <w:t xml:space="preserve"> See for example Resolution Foundation (2013) </w:t>
      </w:r>
      <w:r w:rsidRPr="00440FBD">
        <w:rPr>
          <w:i/>
          <w:sz w:val="18"/>
          <w:szCs w:val="18"/>
        </w:rPr>
        <w:t>All work and no pay: Second earners’ work incentives and childcare costs under Universal Credit</w:t>
      </w:r>
      <w:r w:rsidRPr="00DE2F5B">
        <w:rPr>
          <w:sz w:val="18"/>
          <w:szCs w:val="18"/>
        </w:rPr>
        <w:t xml:space="preserve"> (</w:t>
      </w:r>
      <w:hyperlink r:id="rId5" w:history="1">
        <w:r w:rsidRPr="00DE2F5B">
          <w:rPr>
            <w:rStyle w:val="Hyperlink"/>
            <w:sz w:val="18"/>
            <w:szCs w:val="18"/>
          </w:rPr>
          <w:t>http://bit.ly/2hP1u35</w:t>
        </w:r>
      </w:hyperlink>
      <w:r w:rsidRPr="00DE2F5B">
        <w:rPr>
          <w:sz w:val="18"/>
          <w:szCs w:val="18"/>
        </w:rPr>
        <w:t xml:space="preserve">) </w:t>
      </w:r>
    </w:p>
  </w:footnote>
  <w:footnote w:id="6">
    <w:p w14:paraId="73E558CE" w14:textId="48855E42" w:rsidR="00495C66" w:rsidRPr="001857E5" w:rsidRDefault="00495C66" w:rsidP="001857E5">
      <w:pPr>
        <w:pStyle w:val="NoSpacing"/>
        <w:rPr>
          <w:sz w:val="18"/>
          <w:szCs w:val="18"/>
        </w:rPr>
      </w:pPr>
      <w:r w:rsidRPr="001857E5">
        <w:rPr>
          <w:rStyle w:val="FootnoteReference"/>
          <w:sz w:val="18"/>
          <w:szCs w:val="18"/>
        </w:rPr>
        <w:footnoteRef/>
      </w:r>
      <w:r w:rsidRPr="001857E5">
        <w:rPr>
          <w:sz w:val="18"/>
          <w:szCs w:val="18"/>
        </w:rPr>
        <w:t xml:space="preserve"> Joseph Rowntree Foundation (2013) </w:t>
      </w:r>
      <w:r w:rsidRPr="001857E5">
        <w:rPr>
          <w:i/>
          <w:sz w:val="18"/>
          <w:szCs w:val="18"/>
        </w:rPr>
        <w:t>Does Universal Credit enable households to reach a minimum income standard?</w:t>
      </w:r>
      <w:r w:rsidRPr="001857E5">
        <w:rPr>
          <w:sz w:val="18"/>
          <w:szCs w:val="18"/>
        </w:rPr>
        <w:t xml:space="preserve"> (</w:t>
      </w:r>
      <w:hyperlink r:id="rId6" w:history="1">
        <w:r w:rsidRPr="001857E5">
          <w:rPr>
            <w:rStyle w:val="Hyperlink"/>
            <w:sz w:val="18"/>
            <w:szCs w:val="18"/>
          </w:rPr>
          <w:t>http://bit.ly/2B07tWT</w:t>
        </w:r>
      </w:hyperlink>
      <w:r w:rsidRPr="001857E5">
        <w:rPr>
          <w:sz w:val="18"/>
          <w:szCs w:val="18"/>
        </w:rPr>
        <w:t>)</w:t>
      </w:r>
    </w:p>
  </w:footnote>
  <w:footnote w:id="7">
    <w:p w14:paraId="341FAE24" w14:textId="77777777" w:rsidR="00580B89" w:rsidRPr="00882604" w:rsidRDefault="00580B89" w:rsidP="00580B89">
      <w:pPr>
        <w:pStyle w:val="FootnoteText"/>
        <w:rPr>
          <w:sz w:val="18"/>
          <w:szCs w:val="18"/>
        </w:rPr>
      </w:pPr>
      <w:r w:rsidRPr="00882604">
        <w:rPr>
          <w:rStyle w:val="FootnoteReference"/>
          <w:sz w:val="18"/>
          <w:szCs w:val="18"/>
        </w:rPr>
        <w:footnoteRef/>
      </w:r>
      <w:r w:rsidRPr="00882604">
        <w:rPr>
          <w:sz w:val="18"/>
          <w:szCs w:val="18"/>
        </w:rPr>
        <w:t xml:space="preserve"> House of Commons Library (2016) </w:t>
      </w:r>
      <w:r w:rsidRPr="00882604">
        <w:rPr>
          <w:i/>
          <w:sz w:val="18"/>
          <w:szCs w:val="18"/>
        </w:rPr>
        <w:t>Universal Credit changes from April 2016</w:t>
      </w:r>
      <w:r w:rsidRPr="00882604">
        <w:rPr>
          <w:sz w:val="18"/>
          <w:szCs w:val="18"/>
        </w:rPr>
        <w:t xml:space="preserve"> (</w:t>
      </w:r>
      <w:hyperlink r:id="rId7" w:history="1">
        <w:r w:rsidRPr="00882604">
          <w:rPr>
            <w:rStyle w:val="Hyperlink"/>
            <w:sz w:val="18"/>
            <w:szCs w:val="18"/>
          </w:rPr>
          <w:t>http://bit.ly/2B6pIut</w:t>
        </w:r>
      </w:hyperlink>
      <w:r w:rsidRPr="00882604">
        <w:rPr>
          <w:sz w:val="18"/>
          <w:szCs w:val="18"/>
        </w:rPr>
        <w:t xml:space="preserve">) </w:t>
      </w:r>
    </w:p>
  </w:footnote>
  <w:footnote w:id="8">
    <w:p w14:paraId="463245E0" w14:textId="4EE7F754" w:rsidR="00580B89" w:rsidRPr="00580B89" w:rsidRDefault="00580B89">
      <w:pPr>
        <w:pStyle w:val="FootnoteText"/>
        <w:rPr>
          <w:sz w:val="18"/>
          <w:szCs w:val="18"/>
        </w:rPr>
      </w:pPr>
      <w:r w:rsidRPr="00580B89">
        <w:rPr>
          <w:rStyle w:val="FootnoteReference"/>
          <w:sz w:val="18"/>
          <w:szCs w:val="18"/>
        </w:rPr>
        <w:footnoteRef/>
      </w:r>
      <w:r w:rsidRPr="00580B89">
        <w:rPr>
          <w:sz w:val="18"/>
          <w:szCs w:val="18"/>
        </w:rPr>
        <w:t xml:space="preserve"> Social Mobility and Child Poverty Commission (2015) </w:t>
      </w:r>
      <w:r w:rsidRPr="00580B89">
        <w:rPr>
          <w:i/>
          <w:sz w:val="18"/>
          <w:szCs w:val="18"/>
        </w:rPr>
        <w:t>State of the nation 2015</w:t>
      </w:r>
      <w:r w:rsidRPr="00580B89">
        <w:rPr>
          <w:sz w:val="18"/>
          <w:szCs w:val="18"/>
        </w:rPr>
        <w:t xml:space="preserve"> (</w:t>
      </w:r>
      <w:hyperlink r:id="rId8" w:history="1">
        <w:r w:rsidRPr="00580B89">
          <w:rPr>
            <w:rStyle w:val="Hyperlink"/>
            <w:sz w:val="18"/>
            <w:szCs w:val="18"/>
          </w:rPr>
          <w:t>http://bit.ly/2jdaUlL</w:t>
        </w:r>
      </w:hyperlink>
      <w:r w:rsidRPr="00580B89">
        <w:rPr>
          <w:sz w:val="18"/>
          <w:szCs w:val="18"/>
        </w:rPr>
        <w:t xml:space="preserve">) </w:t>
      </w:r>
    </w:p>
  </w:footnote>
  <w:footnote w:id="9">
    <w:p w14:paraId="2C3FF110" w14:textId="18B2E7CD" w:rsidR="00580B89" w:rsidRPr="00580B89" w:rsidRDefault="00580B89">
      <w:pPr>
        <w:pStyle w:val="FootnoteText"/>
        <w:rPr>
          <w:sz w:val="18"/>
          <w:szCs w:val="18"/>
        </w:rPr>
      </w:pPr>
      <w:r w:rsidRPr="00580B89">
        <w:rPr>
          <w:rStyle w:val="FootnoteReference"/>
          <w:sz w:val="18"/>
          <w:szCs w:val="18"/>
        </w:rPr>
        <w:footnoteRef/>
      </w:r>
      <w:r w:rsidRPr="00580B89">
        <w:rPr>
          <w:sz w:val="18"/>
          <w:szCs w:val="18"/>
        </w:rPr>
        <w:t xml:space="preserve"> Resolution Foundation (2016) </w:t>
      </w:r>
      <w:r w:rsidRPr="00580B89">
        <w:rPr>
          <w:i/>
          <w:sz w:val="18"/>
          <w:szCs w:val="18"/>
        </w:rPr>
        <w:t>Under New Management: Options for supporting ‘just managing’ families at the Autumn Statement</w:t>
      </w:r>
      <w:r w:rsidRPr="00580B89">
        <w:rPr>
          <w:sz w:val="18"/>
          <w:szCs w:val="18"/>
        </w:rPr>
        <w:t xml:space="preserve"> (</w:t>
      </w:r>
      <w:hyperlink r:id="rId9" w:history="1">
        <w:r w:rsidRPr="00580B89">
          <w:rPr>
            <w:rStyle w:val="Hyperlink"/>
            <w:sz w:val="18"/>
            <w:szCs w:val="18"/>
          </w:rPr>
          <w:t>http://bit.ly/2iAlsvP</w:t>
        </w:r>
      </w:hyperlink>
      <w:r w:rsidRPr="00580B89">
        <w:rPr>
          <w:sz w:val="18"/>
          <w:szCs w:val="18"/>
        </w:rPr>
        <w:t xml:space="preserve">) </w:t>
      </w:r>
    </w:p>
  </w:footnote>
  <w:footnote w:id="10">
    <w:p w14:paraId="5BEAA2A3" w14:textId="0D05C6F4" w:rsidR="008838BF" w:rsidRPr="008838BF" w:rsidRDefault="008838BF">
      <w:pPr>
        <w:pStyle w:val="FootnoteText"/>
        <w:rPr>
          <w:sz w:val="18"/>
          <w:szCs w:val="18"/>
        </w:rPr>
      </w:pPr>
      <w:r w:rsidRPr="008838BF">
        <w:rPr>
          <w:rStyle w:val="FootnoteReference"/>
          <w:sz w:val="18"/>
          <w:szCs w:val="18"/>
        </w:rPr>
        <w:footnoteRef/>
      </w:r>
      <w:r w:rsidRPr="008838BF">
        <w:rPr>
          <w:sz w:val="18"/>
          <w:szCs w:val="18"/>
        </w:rPr>
        <w:t xml:space="preserve"> Work and Pensions Select Committee (2017) </w:t>
      </w:r>
      <w:r w:rsidRPr="008838BF">
        <w:rPr>
          <w:i/>
          <w:sz w:val="18"/>
          <w:szCs w:val="18"/>
        </w:rPr>
        <w:t>Universal Credit: the six week wait</w:t>
      </w:r>
      <w:r w:rsidRPr="008838BF">
        <w:rPr>
          <w:sz w:val="18"/>
          <w:szCs w:val="18"/>
        </w:rPr>
        <w:t xml:space="preserve"> (</w:t>
      </w:r>
      <w:hyperlink r:id="rId10" w:history="1">
        <w:r w:rsidRPr="008838BF">
          <w:rPr>
            <w:rStyle w:val="Hyperlink"/>
            <w:sz w:val="18"/>
            <w:szCs w:val="18"/>
          </w:rPr>
          <w:t>http://bit.ly/2AfLJK1</w:t>
        </w:r>
      </w:hyperlink>
      <w:r w:rsidRPr="008838BF">
        <w:rPr>
          <w:sz w:val="18"/>
          <w:szCs w:val="18"/>
        </w:rPr>
        <w:t xml:space="preserve">) </w:t>
      </w:r>
    </w:p>
  </w:footnote>
  <w:footnote w:id="11">
    <w:p w14:paraId="72D0EFB5" w14:textId="272DB9DD" w:rsidR="00D8573B" w:rsidRPr="00D222DB" w:rsidRDefault="00D8573B">
      <w:pPr>
        <w:pStyle w:val="FootnoteText"/>
        <w:rPr>
          <w:sz w:val="18"/>
          <w:szCs w:val="18"/>
        </w:rPr>
      </w:pPr>
      <w:r w:rsidRPr="00D222DB">
        <w:rPr>
          <w:rStyle w:val="FootnoteReference"/>
          <w:sz w:val="18"/>
          <w:szCs w:val="18"/>
        </w:rPr>
        <w:footnoteRef/>
      </w:r>
      <w:r w:rsidRPr="00D222DB">
        <w:rPr>
          <w:sz w:val="18"/>
          <w:szCs w:val="18"/>
        </w:rPr>
        <w:t xml:space="preserve"> Women’s Budget Group (2005) </w:t>
      </w:r>
      <w:r w:rsidRPr="00D222DB">
        <w:rPr>
          <w:i/>
          <w:sz w:val="18"/>
          <w:szCs w:val="18"/>
        </w:rPr>
        <w:t>Women’s and Children’s Poverty: Making the links</w:t>
      </w:r>
    </w:p>
  </w:footnote>
  <w:footnote w:id="12">
    <w:p w14:paraId="544E439F" w14:textId="47EEC8C7" w:rsidR="00A10739" w:rsidRPr="00A10739" w:rsidRDefault="00A10739">
      <w:pPr>
        <w:pStyle w:val="FootnoteText"/>
        <w:rPr>
          <w:sz w:val="18"/>
          <w:szCs w:val="18"/>
        </w:rPr>
      </w:pPr>
      <w:r w:rsidRPr="00A10739">
        <w:rPr>
          <w:rStyle w:val="FootnoteReference"/>
          <w:sz w:val="18"/>
          <w:szCs w:val="18"/>
        </w:rPr>
        <w:footnoteRef/>
      </w:r>
      <w:r w:rsidRPr="00A10739">
        <w:rPr>
          <w:sz w:val="18"/>
          <w:szCs w:val="18"/>
        </w:rPr>
        <w:t xml:space="preserve"> Women’s Budget Group and Runnymede (2017) </w:t>
      </w:r>
      <w:r w:rsidRPr="00A10739">
        <w:rPr>
          <w:i/>
          <w:sz w:val="18"/>
          <w:szCs w:val="18"/>
        </w:rPr>
        <w:t>Intersecting Inequalities: The impact of austerity on Black and Minority women in the UK</w:t>
      </w:r>
      <w:r w:rsidRPr="00A10739">
        <w:rPr>
          <w:sz w:val="18"/>
          <w:szCs w:val="18"/>
        </w:rPr>
        <w:t xml:space="preserve"> (</w:t>
      </w:r>
      <w:hyperlink r:id="rId11" w:history="1">
        <w:r w:rsidRPr="00A10739">
          <w:rPr>
            <w:rStyle w:val="Hyperlink"/>
            <w:sz w:val="18"/>
            <w:szCs w:val="18"/>
          </w:rPr>
          <w:t>http://bit.ly/2jLave5</w:t>
        </w:r>
      </w:hyperlink>
      <w:r w:rsidRPr="00A10739">
        <w:rPr>
          <w:sz w:val="18"/>
          <w:szCs w:val="18"/>
        </w:rPr>
        <w:t xml:space="preserve">) </w:t>
      </w:r>
    </w:p>
  </w:footnote>
  <w:footnote w:id="13">
    <w:p w14:paraId="6932804C" w14:textId="24A13235" w:rsidR="00B544FE" w:rsidRPr="00C0111D" w:rsidRDefault="00B544FE" w:rsidP="00B544FE">
      <w:pPr>
        <w:pStyle w:val="FootnoteText"/>
        <w:rPr>
          <w:sz w:val="18"/>
          <w:szCs w:val="18"/>
        </w:rPr>
      </w:pPr>
      <w:r w:rsidRPr="00C0111D">
        <w:rPr>
          <w:rStyle w:val="FootnoteReference"/>
          <w:sz w:val="18"/>
          <w:szCs w:val="18"/>
        </w:rPr>
        <w:footnoteRef/>
      </w:r>
      <w:r w:rsidR="007235D0">
        <w:rPr>
          <w:sz w:val="18"/>
          <w:szCs w:val="18"/>
        </w:rPr>
        <w:t xml:space="preserve"> E</w:t>
      </w:r>
      <w:r w:rsidRPr="00C0111D">
        <w:rPr>
          <w:sz w:val="18"/>
          <w:szCs w:val="18"/>
        </w:rPr>
        <w:t>xcluding sick pay, maternity allowance, maternity/paternity pay and some disability benefits</w:t>
      </w:r>
    </w:p>
  </w:footnote>
  <w:footnote w:id="14">
    <w:p w14:paraId="5170D786" w14:textId="77777777" w:rsidR="00B544FE" w:rsidRPr="00C0111D" w:rsidRDefault="00B544FE" w:rsidP="00B544FE">
      <w:pPr>
        <w:pStyle w:val="FootnoteText"/>
        <w:rPr>
          <w:sz w:val="18"/>
          <w:szCs w:val="18"/>
        </w:rPr>
      </w:pPr>
      <w:r w:rsidRPr="00C0111D">
        <w:rPr>
          <w:rStyle w:val="FootnoteReference"/>
          <w:sz w:val="18"/>
          <w:szCs w:val="18"/>
        </w:rPr>
        <w:footnoteRef/>
      </w:r>
      <w:r w:rsidRPr="00C0111D">
        <w:rPr>
          <w:sz w:val="18"/>
          <w:szCs w:val="18"/>
        </w:rPr>
        <w:t xml:space="preserve"> Institute for Fiscal Studies (2015) </w:t>
      </w:r>
      <w:r w:rsidRPr="00C0111D">
        <w:rPr>
          <w:i/>
          <w:sz w:val="18"/>
          <w:szCs w:val="18"/>
        </w:rPr>
        <w:t>Summer Budget 2015</w:t>
      </w:r>
      <w:r w:rsidRPr="00C0111D">
        <w:rPr>
          <w:sz w:val="18"/>
          <w:szCs w:val="18"/>
        </w:rPr>
        <w:t xml:space="preserve"> (</w:t>
      </w:r>
      <w:hyperlink r:id="rId12" w:history="1">
        <w:r w:rsidRPr="00C0111D">
          <w:rPr>
            <w:rStyle w:val="Hyperlink"/>
            <w:sz w:val="18"/>
            <w:szCs w:val="18"/>
          </w:rPr>
          <w:t>http://bit.ly/2B8CpFl</w:t>
        </w:r>
      </w:hyperlink>
      <w:r w:rsidRPr="00C0111D">
        <w:rPr>
          <w:sz w:val="18"/>
          <w:szCs w:val="18"/>
        </w:rPr>
        <w:t xml:space="preserve">) </w:t>
      </w:r>
    </w:p>
  </w:footnote>
  <w:footnote w:id="15">
    <w:p w14:paraId="536E0750" w14:textId="570FE894" w:rsidR="00D81A16" w:rsidRPr="00D81A16" w:rsidRDefault="00D81A16">
      <w:pPr>
        <w:pStyle w:val="FootnoteText"/>
        <w:rPr>
          <w:sz w:val="18"/>
          <w:szCs w:val="18"/>
        </w:rPr>
      </w:pPr>
      <w:r w:rsidRPr="00D81A16">
        <w:rPr>
          <w:rStyle w:val="FootnoteReference"/>
          <w:sz w:val="18"/>
          <w:szCs w:val="18"/>
        </w:rPr>
        <w:footnoteRef/>
      </w:r>
      <w:r w:rsidRPr="00D81A16">
        <w:rPr>
          <w:sz w:val="18"/>
          <w:szCs w:val="18"/>
        </w:rPr>
        <w:t xml:space="preserve"> For a more detailed analysis </w:t>
      </w:r>
      <w:r w:rsidR="007235D0">
        <w:rPr>
          <w:sz w:val="18"/>
          <w:szCs w:val="18"/>
        </w:rPr>
        <w:t xml:space="preserve">and tables with exact figures </w:t>
      </w:r>
      <w:r w:rsidRPr="00D81A16">
        <w:rPr>
          <w:sz w:val="18"/>
          <w:szCs w:val="18"/>
        </w:rPr>
        <w:t>see</w:t>
      </w:r>
      <w:r>
        <w:rPr>
          <w:sz w:val="18"/>
          <w:szCs w:val="18"/>
        </w:rPr>
        <w:t xml:space="preserve"> WBG’s and Runnymede’s pre-Autumn Budget 2017 press release</w:t>
      </w:r>
      <w:r w:rsidRPr="00D81A16">
        <w:rPr>
          <w:sz w:val="18"/>
          <w:szCs w:val="18"/>
        </w:rPr>
        <w:t xml:space="preserve"> </w:t>
      </w:r>
      <w:r>
        <w:rPr>
          <w:sz w:val="18"/>
          <w:szCs w:val="18"/>
        </w:rPr>
        <w:t xml:space="preserve">at </w:t>
      </w:r>
      <w:hyperlink r:id="rId13" w:history="1">
        <w:r w:rsidRPr="003A7CBD">
          <w:rPr>
            <w:rStyle w:val="Hyperlink"/>
            <w:sz w:val="18"/>
            <w:szCs w:val="18"/>
          </w:rPr>
          <w:t>http://bit.ly/2zTSAbv</w:t>
        </w:r>
      </w:hyperlink>
      <w:r>
        <w:rPr>
          <w:sz w:val="18"/>
          <w:szCs w:val="18"/>
        </w:rPr>
        <w:t xml:space="preserve"> </w:t>
      </w:r>
      <w:r w:rsidRPr="00D81A1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4EA8" w14:textId="3F09B3E4" w:rsidR="00F44330" w:rsidRDefault="00F44330">
    <w:pPr>
      <w:pStyle w:val="Header"/>
    </w:pPr>
    <w:r w:rsidRPr="00804CD9">
      <w:rPr>
        <w:noProof/>
        <w:lang w:eastAsia="en-GB"/>
      </w:rPr>
      <w:drawing>
        <wp:inline distT="0" distB="0" distL="0" distR="0" wp14:anchorId="724716FB" wp14:editId="2C497D44">
          <wp:extent cx="1752600" cy="657225"/>
          <wp:effectExtent l="19050" t="0" r="0" b="0"/>
          <wp:docPr id="3" name="Picture 2" descr="C:\Users\Jerome\Documents\WHIPP\WBG\Management committee\Logo_suggestion_website_2016_11.jpg"/>
          <wp:cNvGraphicFramePr/>
          <a:graphic xmlns:a="http://schemas.openxmlformats.org/drawingml/2006/main">
            <a:graphicData uri="http://schemas.openxmlformats.org/drawingml/2006/picture">
              <pic:pic xmlns:pic="http://schemas.openxmlformats.org/drawingml/2006/picture">
                <pic:nvPicPr>
                  <pic:cNvPr id="2050" name="Picture 2" descr="C:\Users\Jerome\Documents\WHIPP\WBG\Management committee\Logo_suggestion_website_2016_11.jpg"/>
                  <pic:cNvPicPr>
                    <a:picLocks noChangeAspect="1" noChangeArrowheads="1"/>
                  </pic:cNvPicPr>
                </pic:nvPicPr>
                <pic:blipFill>
                  <a:blip r:embed="rId1" cstate="print"/>
                  <a:srcRect/>
                  <a:stretch>
                    <a:fillRect/>
                  </a:stretch>
                </pic:blipFill>
                <pic:spPr bwMode="auto">
                  <a:xfrm>
                    <a:off x="0" y="0"/>
                    <a:ext cx="1752600" cy="657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92A"/>
    <w:multiLevelType w:val="hybridMultilevel"/>
    <w:tmpl w:val="D824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972BE"/>
    <w:multiLevelType w:val="multilevel"/>
    <w:tmpl w:val="754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A28DE"/>
    <w:multiLevelType w:val="hybridMultilevel"/>
    <w:tmpl w:val="397EF7CE"/>
    <w:lvl w:ilvl="0" w:tplc="362462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034B7"/>
    <w:multiLevelType w:val="hybridMultilevel"/>
    <w:tmpl w:val="FB0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08"/>
    <w:rsid w:val="00065D1A"/>
    <w:rsid w:val="000A67C5"/>
    <w:rsid w:val="000F55F0"/>
    <w:rsid w:val="001216FC"/>
    <w:rsid w:val="001224C2"/>
    <w:rsid w:val="001335E9"/>
    <w:rsid w:val="00134C78"/>
    <w:rsid w:val="001857E5"/>
    <w:rsid w:val="00187EDF"/>
    <w:rsid w:val="001C2078"/>
    <w:rsid w:val="0024210E"/>
    <w:rsid w:val="00242FFC"/>
    <w:rsid w:val="002B0190"/>
    <w:rsid w:val="002B648D"/>
    <w:rsid w:val="002D2C96"/>
    <w:rsid w:val="002E2166"/>
    <w:rsid w:val="002E330A"/>
    <w:rsid w:val="002E61AB"/>
    <w:rsid w:val="00327B0B"/>
    <w:rsid w:val="00337838"/>
    <w:rsid w:val="003A2798"/>
    <w:rsid w:val="003C27E7"/>
    <w:rsid w:val="003D6176"/>
    <w:rsid w:val="003E127C"/>
    <w:rsid w:val="003E3528"/>
    <w:rsid w:val="004369A4"/>
    <w:rsid w:val="00440FBD"/>
    <w:rsid w:val="00441B63"/>
    <w:rsid w:val="00444B08"/>
    <w:rsid w:val="00495C66"/>
    <w:rsid w:val="004E7280"/>
    <w:rsid w:val="004F1C6D"/>
    <w:rsid w:val="005232BC"/>
    <w:rsid w:val="00532692"/>
    <w:rsid w:val="00533B0D"/>
    <w:rsid w:val="00550367"/>
    <w:rsid w:val="00580B89"/>
    <w:rsid w:val="00580F74"/>
    <w:rsid w:val="0058163B"/>
    <w:rsid w:val="00591C6E"/>
    <w:rsid w:val="00594B57"/>
    <w:rsid w:val="005A341A"/>
    <w:rsid w:val="005D2DF5"/>
    <w:rsid w:val="006906B1"/>
    <w:rsid w:val="006D37A8"/>
    <w:rsid w:val="006D40FE"/>
    <w:rsid w:val="006D5750"/>
    <w:rsid w:val="006D66CD"/>
    <w:rsid w:val="006F3E01"/>
    <w:rsid w:val="0071435F"/>
    <w:rsid w:val="00716E99"/>
    <w:rsid w:val="007235D0"/>
    <w:rsid w:val="00727298"/>
    <w:rsid w:val="0074538F"/>
    <w:rsid w:val="007618BA"/>
    <w:rsid w:val="007B19F4"/>
    <w:rsid w:val="008823A8"/>
    <w:rsid w:val="00882604"/>
    <w:rsid w:val="008838BF"/>
    <w:rsid w:val="008B11E9"/>
    <w:rsid w:val="008D0C70"/>
    <w:rsid w:val="009062AD"/>
    <w:rsid w:val="009156B1"/>
    <w:rsid w:val="00916B53"/>
    <w:rsid w:val="00937740"/>
    <w:rsid w:val="00941FA2"/>
    <w:rsid w:val="00952EB7"/>
    <w:rsid w:val="0099507A"/>
    <w:rsid w:val="009C5EC8"/>
    <w:rsid w:val="009F129F"/>
    <w:rsid w:val="00A10739"/>
    <w:rsid w:val="00A2589E"/>
    <w:rsid w:val="00A56DF8"/>
    <w:rsid w:val="00AC7A8B"/>
    <w:rsid w:val="00AD7D49"/>
    <w:rsid w:val="00B534EE"/>
    <w:rsid w:val="00B53585"/>
    <w:rsid w:val="00B544FE"/>
    <w:rsid w:val="00B60B37"/>
    <w:rsid w:val="00B631D0"/>
    <w:rsid w:val="00B94E73"/>
    <w:rsid w:val="00BF7C7C"/>
    <w:rsid w:val="00C0111D"/>
    <w:rsid w:val="00C54708"/>
    <w:rsid w:val="00CB1831"/>
    <w:rsid w:val="00CB34AF"/>
    <w:rsid w:val="00CE6DAF"/>
    <w:rsid w:val="00D00545"/>
    <w:rsid w:val="00D01C22"/>
    <w:rsid w:val="00D222DB"/>
    <w:rsid w:val="00D24A95"/>
    <w:rsid w:val="00D81A16"/>
    <w:rsid w:val="00D8573B"/>
    <w:rsid w:val="00DA1F44"/>
    <w:rsid w:val="00DE2F5B"/>
    <w:rsid w:val="00DF31BF"/>
    <w:rsid w:val="00E14FB6"/>
    <w:rsid w:val="00E47DBA"/>
    <w:rsid w:val="00E47FCD"/>
    <w:rsid w:val="00E637E0"/>
    <w:rsid w:val="00E76B8D"/>
    <w:rsid w:val="00EA0C1B"/>
    <w:rsid w:val="00EC6CD6"/>
    <w:rsid w:val="00ED27C3"/>
    <w:rsid w:val="00F33152"/>
    <w:rsid w:val="00F44330"/>
    <w:rsid w:val="00F56584"/>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DF7C"/>
  <w15:chartTrackingRefBased/>
  <w15:docId w15:val="{39F07F5F-262C-41E8-8F2B-78F9452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08"/>
    <w:rPr>
      <w:color w:val="0563C1" w:themeColor="hyperlink"/>
      <w:u w:val="single"/>
    </w:rPr>
  </w:style>
  <w:style w:type="character" w:customStyle="1" w:styleId="UnresolvedMention1">
    <w:name w:val="Unresolved Mention1"/>
    <w:basedOn w:val="DefaultParagraphFont"/>
    <w:uiPriority w:val="99"/>
    <w:semiHidden/>
    <w:unhideWhenUsed/>
    <w:rsid w:val="00444B08"/>
    <w:rPr>
      <w:color w:val="808080"/>
      <w:shd w:val="clear" w:color="auto" w:fill="E6E6E6"/>
    </w:rPr>
  </w:style>
  <w:style w:type="character" w:styleId="FollowedHyperlink">
    <w:name w:val="FollowedHyperlink"/>
    <w:basedOn w:val="DefaultParagraphFont"/>
    <w:uiPriority w:val="99"/>
    <w:semiHidden/>
    <w:unhideWhenUsed/>
    <w:rsid w:val="007B19F4"/>
    <w:rPr>
      <w:color w:val="954F72" w:themeColor="followedHyperlink"/>
      <w:u w:val="single"/>
    </w:rPr>
  </w:style>
  <w:style w:type="paragraph" w:styleId="ListParagraph">
    <w:name w:val="List Paragraph"/>
    <w:basedOn w:val="Normal"/>
    <w:uiPriority w:val="34"/>
    <w:qFormat/>
    <w:rsid w:val="00B53585"/>
    <w:pPr>
      <w:ind w:left="720"/>
      <w:contextualSpacing/>
    </w:pPr>
  </w:style>
  <w:style w:type="paragraph" w:customStyle="1" w:styleId="Default">
    <w:name w:val="Default"/>
    <w:rsid w:val="003E3528"/>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paragraph" w:styleId="FootnoteText">
    <w:name w:val="footnote text"/>
    <w:basedOn w:val="Normal"/>
    <w:link w:val="FootnoteTextChar"/>
    <w:uiPriority w:val="99"/>
    <w:unhideWhenUsed/>
    <w:rsid w:val="009F129F"/>
    <w:pPr>
      <w:spacing w:after="0" w:line="240" w:lineRule="auto"/>
    </w:pPr>
    <w:rPr>
      <w:sz w:val="24"/>
      <w:szCs w:val="24"/>
    </w:rPr>
  </w:style>
  <w:style w:type="character" w:customStyle="1" w:styleId="FootnoteTextChar">
    <w:name w:val="Footnote Text Char"/>
    <w:basedOn w:val="DefaultParagraphFont"/>
    <w:link w:val="FootnoteText"/>
    <w:uiPriority w:val="99"/>
    <w:rsid w:val="009F129F"/>
    <w:rPr>
      <w:sz w:val="24"/>
      <w:szCs w:val="24"/>
    </w:rPr>
  </w:style>
  <w:style w:type="character" w:styleId="FootnoteReference">
    <w:name w:val="footnote reference"/>
    <w:basedOn w:val="DefaultParagraphFont"/>
    <w:uiPriority w:val="99"/>
    <w:unhideWhenUsed/>
    <w:rsid w:val="009F129F"/>
    <w:rPr>
      <w:vertAlign w:val="superscript"/>
    </w:rPr>
  </w:style>
  <w:style w:type="paragraph" w:styleId="NoSpacing">
    <w:name w:val="No Spacing"/>
    <w:uiPriority w:val="1"/>
    <w:qFormat/>
    <w:rsid w:val="001857E5"/>
    <w:pPr>
      <w:spacing w:after="0" w:line="240" w:lineRule="auto"/>
    </w:pPr>
  </w:style>
  <w:style w:type="paragraph" w:styleId="Header">
    <w:name w:val="header"/>
    <w:basedOn w:val="Normal"/>
    <w:link w:val="HeaderChar"/>
    <w:uiPriority w:val="99"/>
    <w:unhideWhenUsed/>
    <w:rsid w:val="00723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D0"/>
  </w:style>
  <w:style w:type="paragraph" w:styleId="Footer">
    <w:name w:val="footer"/>
    <w:basedOn w:val="Normal"/>
    <w:link w:val="FooterChar"/>
    <w:uiPriority w:val="99"/>
    <w:unhideWhenUsed/>
    <w:rsid w:val="00723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D0"/>
  </w:style>
  <w:style w:type="character" w:styleId="CommentReference">
    <w:name w:val="annotation reference"/>
    <w:basedOn w:val="DefaultParagraphFont"/>
    <w:uiPriority w:val="99"/>
    <w:semiHidden/>
    <w:unhideWhenUsed/>
    <w:rsid w:val="0024210E"/>
    <w:rPr>
      <w:sz w:val="16"/>
      <w:szCs w:val="16"/>
    </w:rPr>
  </w:style>
  <w:style w:type="paragraph" w:styleId="CommentText">
    <w:name w:val="annotation text"/>
    <w:basedOn w:val="Normal"/>
    <w:link w:val="CommentTextChar"/>
    <w:uiPriority w:val="99"/>
    <w:semiHidden/>
    <w:unhideWhenUsed/>
    <w:rsid w:val="0024210E"/>
    <w:pPr>
      <w:spacing w:line="240" w:lineRule="auto"/>
    </w:pPr>
    <w:rPr>
      <w:sz w:val="20"/>
      <w:szCs w:val="20"/>
    </w:rPr>
  </w:style>
  <w:style w:type="character" w:customStyle="1" w:styleId="CommentTextChar">
    <w:name w:val="Comment Text Char"/>
    <w:basedOn w:val="DefaultParagraphFont"/>
    <w:link w:val="CommentText"/>
    <w:uiPriority w:val="99"/>
    <w:semiHidden/>
    <w:rsid w:val="0024210E"/>
    <w:rPr>
      <w:sz w:val="20"/>
      <w:szCs w:val="20"/>
    </w:rPr>
  </w:style>
  <w:style w:type="paragraph" w:styleId="CommentSubject">
    <w:name w:val="annotation subject"/>
    <w:basedOn w:val="CommentText"/>
    <w:next w:val="CommentText"/>
    <w:link w:val="CommentSubjectChar"/>
    <w:uiPriority w:val="99"/>
    <w:semiHidden/>
    <w:unhideWhenUsed/>
    <w:rsid w:val="0024210E"/>
    <w:rPr>
      <w:b/>
      <w:bCs/>
    </w:rPr>
  </w:style>
  <w:style w:type="character" w:customStyle="1" w:styleId="CommentSubjectChar">
    <w:name w:val="Comment Subject Char"/>
    <w:basedOn w:val="CommentTextChar"/>
    <w:link w:val="CommentSubject"/>
    <w:uiPriority w:val="99"/>
    <w:semiHidden/>
    <w:rsid w:val="0024210E"/>
    <w:rPr>
      <w:b/>
      <w:bCs/>
      <w:sz w:val="20"/>
      <w:szCs w:val="20"/>
    </w:rPr>
  </w:style>
  <w:style w:type="paragraph" w:styleId="BalloonText">
    <w:name w:val="Balloon Text"/>
    <w:basedOn w:val="Normal"/>
    <w:link w:val="BalloonTextChar"/>
    <w:uiPriority w:val="99"/>
    <w:semiHidden/>
    <w:unhideWhenUsed/>
    <w:rsid w:val="0024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0E"/>
    <w:rPr>
      <w:rFonts w:ascii="Segoe UI" w:hAnsi="Segoe UI" w:cs="Segoe UI"/>
      <w:sz w:val="18"/>
      <w:szCs w:val="18"/>
    </w:rPr>
  </w:style>
  <w:style w:type="paragraph" w:styleId="Revision">
    <w:name w:val="Revision"/>
    <w:hidden/>
    <w:uiPriority w:val="99"/>
    <w:semiHidden/>
    <w:rsid w:val="00B53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6749">
      <w:bodyDiv w:val="1"/>
      <w:marLeft w:val="0"/>
      <w:marRight w:val="0"/>
      <w:marTop w:val="0"/>
      <w:marBottom w:val="0"/>
      <w:divBdr>
        <w:top w:val="none" w:sz="0" w:space="0" w:color="auto"/>
        <w:left w:val="none" w:sz="0" w:space="0" w:color="auto"/>
        <w:bottom w:val="none" w:sz="0" w:space="0" w:color="auto"/>
        <w:right w:val="none" w:sz="0" w:space="0" w:color="auto"/>
      </w:divBdr>
    </w:div>
    <w:div w:id="782267037">
      <w:bodyDiv w:val="1"/>
      <w:marLeft w:val="0"/>
      <w:marRight w:val="0"/>
      <w:marTop w:val="0"/>
      <w:marBottom w:val="0"/>
      <w:divBdr>
        <w:top w:val="none" w:sz="0" w:space="0" w:color="auto"/>
        <w:left w:val="none" w:sz="0" w:space="0" w:color="auto"/>
        <w:bottom w:val="none" w:sz="0" w:space="0" w:color="auto"/>
        <w:right w:val="none" w:sz="0" w:space="0" w:color="auto"/>
      </w:divBdr>
    </w:div>
    <w:div w:id="899829183">
      <w:bodyDiv w:val="1"/>
      <w:marLeft w:val="0"/>
      <w:marRight w:val="0"/>
      <w:marTop w:val="0"/>
      <w:marBottom w:val="0"/>
      <w:divBdr>
        <w:top w:val="none" w:sz="0" w:space="0" w:color="auto"/>
        <w:left w:val="none" w:sz="0" w:space="0" w:color="auto"/>
        <w:bottom w:val="none" w:sz="0" w:space="0" w:color="auto"/>
        <w:right w:val="none" w:sz="0" w:space="0" w:color="auto"/>
      </w:divBdr>
    </w:div>
    <w:div w:id="916212529">
      <w:bodyDiv w:val="1"/>
      <w:marLeft w:val="0"/>
      <w:marRight w:val="0"/>
      <w:marTop w:val="0"/>
      <w:marBottom w:val="0"/>
      <w:divBdr>
        <w:top w:val="none" w:sz="0" w:space="0" w:color="auto"/>
        <w:left w:val="none" w:sz="0" w:space="0" w:color="auto"/>
        <w:bottom w:val="none" w:sz="0" w:space="0" w:color="auto"/>
        <w:right w:val="none" w:sz="0" w:space="0" w:color="auto"/>
      </w:divBdr>
    </w:div>
    <w:div w:id="971135784">
      <w:bodyDiv w:val="1"/>
      <w:marLeft w:val="0"/>
      <w:marRight w:val="0"/>
      <w:marTop w:val="0"/>
      <w:marBottom w:val="0"/>
      <w:divBdr>
        <w:top w:val="none" w:sz="0" w:space="0" w:color="auto"/>
        <w:left w:val="none" w:sz="0" w:space="0" w:color="auto"/>
        <w:bottom w:val="none" w:sz="0" w:space="0" w:color="auto"/>
        <w:right w:val="none" w:sz="0" w:space="0" w:color="auto"/>
      </w:divBdr>
    </w:div>
    <w:div w:id="1061517520">
      <w:bodyDiv w:val="1"/>
      <w:marLeft w:val="0"/>
      <w:marRight w:val="0"/>
      <w:marTop w:val="0"/>
      <w:marBottom w:val="0"/>
      <w:divBdr>
        <w:top w:val="none" w:sz="0" w:space="0" w:color="auto"/>
        <w:left w:val="none" w:sz="0" w:space="0" w:color="auto"/>
        <w:bottom w:val="none" w:sz="0" w:space="0" w:color="auto"/>
        <w:right w:val="none" w:sz="0" w:space="0" w:color="auto"/>
      </w:divBdr>
    </w:div>
    <w:div w:id="1233155398">
      <w:bodyDiv w:val="1"/>
      <w:marLeft w:val="0"/>
      <w:marRight w:val="0"/>
      <w:marTop w:val="0"/>
      <w:marBottom w:val="0"/>
      <w:divBdr>
        <w:top w:val="none" w:sz="0" w:space="0" w:color="auto"/>
        <w:left w:val="none" w:sz="0" w:space="0" w:color="auto"/>
        <w:bottom w:val="none" w:sz="0" w:space="0" w:color="auto"/>
        <w:right w:val="none" w:sz="0" w:space="0" w:color="auto"/>
      </w:divBdr>
    </w:div>
    <w:div w:id="1303075180">
      <w:bodyDiv w:val="1"/>
      <w:marLeft w:val="0"/>
      <w:marRight w:val="0"/>
      <w:marTop w:val="0"/>
      <w:marBottom w:val="0"/>
      <w:divBdr>
        <w:top w:val="none" w:sz="0" w:space="0" w:color="auto"/>
        <w:left w:val="none" w:sz="0" w:space="0" w:color="auto"/>
        <w:bottom w:val="none" w:sz="0" w:space="0" w:color="auto"/>
        <w:right w:val="none" w:sz="0" w:space="0" w:color="auto"/>
      </w:divBdr>
    </w:div>
    <w:div w:id="1639217162">
      <w:bodyDiv w:val="1"/>
      <w:marLeft w:val="0"/>
      <w:marRight w:val="0"/>
      <w:marTop w:val="0"/>
      <w:marBottom w:val="0"/>
      <w:divBdr>
        <w:top w:val="none" w:sz="0" w:space="0" w:color="auto"/>
        <w:left w:val="none" w:sz="0" w:space="0" w:color="auto"/>
        <w:bottom w:val="none" w:sz="0" w:space="0" w:color="auto"/>
        <w:right w:val="none" w:sz="0" w:space="0" w:color="auto"/>
      </w:divBdr>
    </w:div>
    <w:div w:id="1739018245">
      <w:bodyDiv w:val="1"/>
      <w:marLeft w:val="0"/>
      <w:marRight w:val="0"/>
      <w:marTop w:val="0"/>
      <w:marBottom w:val="0"/>
      <w:divBdr>
        <w:top w:val="none" w:sz="0" w:space="0" w:color="auto"/>
        <w:left w:val="none" w:sz="0" w:space="0" w:color="auto"/>
        <w:bottom w:val="none" w:sz="0" w:space="0" w:color="auto"/>
        <w:right w:val="none" w:sz="0" w:space="0" w:color="auto"/>
      </w:divBdr>
    </w:div>
    <w:div w:id="19606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maryann.stephenson@wb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g.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4dbefa42-b260-4b9d-8c04-c7b3d44e508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bit.ly/2jdaUlL" TargetMode="External"/><Relationship Id="rId13" Type="http://schemas.openxmlformats.org/officeDocument/2006/relationships/hyperlink" Target="http://bit.ly/2zTSAbv" TargetMode="External"/><Relationship Id="rId3" Type="http://schemas.openxmlformats.org/officeDocument/2006/relationships/hyperlink" Target="http://bit.ly/2zVzWjC" TargetMode="External"/><Relationship Id="rId7" Type="http://schemas.openxmlformats.org/officeDocument/2006/relationships/hyperlink" Target="http://bit.ly/2B6pIut" TargetMode="External"/><Relationship Id="rId12" Type="http://schemas.openxmlformats.org/officeDocument/2006/relationships/hyperlink" Target="http://bit.ly/2B8CpFl" TargetMode="External"/><Relationship Id="rId2" Type="http://schemas.openxmlformats.org/officeDocument/2006/relationships/hyperlink" Target="http://bit.ly/2z95Mpt" TargetMode="External"/><Relationship Id="rId1" Type="http://schemas.openxmlformats.org/officeDocument/2006/relationships/hyperlink" Target="http://bit.ly/2jeG7ES" TargetMode="External"/><Relationship Id="rId6" Type="http://schemas.openxmlformats.org/officeDocument/2006/relationships/hyperlink" Target="http://bit.ly/2B07tWT" TargetMode="External"/><Relationship Id="rId11" Type="http://schemas.openxmlformats.org/officeDocument/2006/relationships/hyperlink" Target="http://bit.ly/2jLave5" TargetMode="External"/><Relationship Id="rId5" Type="http://schemas.openxmlformats.org/officeDocument/2006/relationships/hyperlink" Target="http://bit.ly/2hP1u35" TargetMode="External"/><Relationship Id="rId10" Type="http://schemas.openxmlformats.org/officeDocument/2006/relationships/hyperlink" Target="http://bit.ly/2AfLJK1" TargetMode="External"/><Relationship Id="rId4" Type="http://schemas.openxmlformats.org/officeDocument/2006/relationships/hyperlink" Target="http://bit.ly/2zU2euO" TargetMode="External"/><Relationship Id="rId9" Type="http://schemas.openxmlformats.org/officeDocument/2006/relationships/hyperlink" Target="http://bit.ly/2iAls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userdata\documents3\jh9353\Documents\WHIPP\WBG\2017_11_Budget\IndividualResultsNov2017PreBudget_UC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data\documents3\jh9353\Documents\WHIPP\WBG\2017_11_Budget\IndividualResultsNov2017PreBudget_UC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'UC (2013)'!$BB$3</c:f>
              <c:strCache>
                <c:ptCount val="1"/>
                <c:pt idx="0">
                  <c:v>Work allowance</c:v>
                </c:pt>
              </c:strCache>
            </c:strRef>
          </c:tx>
          <c:spPr>
            <a:solidFill>
              <a:schemeClr val="accent1">
                <a:lumMod val="75000"/>
              </a:schemeClr>
            </a:solidFill>
          </c:spPr>
          <c:invertIfNegative val="0"/>
          <c:cat>
            <c:multiLvlStrRef>
              <c:f>('UC (2013)'!$AV$474:$AX$475,'UC (2013)'!$AV$478:$AX$481,'UC (2013)'!$AV$484:$AX$485,'UC (2013)'!$AV$488:$AX$491)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(2013)'!$BB$474:$BB$475,'UC (2013)'!$BB$478:$BB$481,'UC (2013)'!$BB$484:$BB$485,'UC (2013)'!$BB$488:$BB$491)</c:f>
              <c:numCache>
                <c:formatCode>"£"#,##0</c:formatCode>
                <c:ptCount val="12"/>
                <c:pt idx="0">
                  <c:v>-62.396728515630443</c:v>
                </c:pt>
                <c:pt idx="1">
                  <c:v>-124.65966796875</c:v>
                </c:pt>
                <c:pt idx="2">
                  <c:v>-54.984130859380443</c:v>
                </c:pt>
                <c:pt idx="3">
                  <c:v>-289.6376953125</c:v>
                </c:pt>
                <c:pt idx="4">
                  <c:v>-44.595458984380457</c:v>
                </c:pt>
                <c:pt idx="5">
                  <c:v>-71.079101562499787</c:v>
                </c:pt>
                <c:pt idx="6">
                  <c:v>-528.25659179687841</c:v>
                </c:pt>
                <c:pt idx="7">
                  <c:v>-889.89916992187136</c:v>
                </c:pt>
                <c:pt idx="8">
                  <c:v>-581.45678710937136</c:v>
                </c:pt>
                <c:pt idx="9">
                  <c:v>-749.458984375</c:v>
                </c:pt>
                <c:pt idx="10">
                  <c:v>-440.10913085937142</c:v>
                </c:pt>
                <c:pt idx="11">
                  <c:v>-895.49951171875</c:v>
                </c:pt>
              </c:numCache>
            </c:numRef>
          </c:val>
          <c:extLst>
            <c:ext xmlns:c16="http://schemas.microsoft.com/office/drawing/2014/chart" uri="{C3380CC4-5D6E-409C-BE32-E72D297353CC}">
              <c16:uniqueId val="{00000000-50B0-4E80-99A3-BFC504995FDB}"/>
            </c:ext>
          </c:extLst>
        </c:ser>
        <c:ser>
          <c:idx val="2"/>
          <c:order val="1"/>
          <c:tx>
            <c:strRef>
              <c:f>'UC (2013)'!$BC$3</c:f>
              <c:strCache>
                <c:ptCount val="1"/>
                <c:pt idx="0">
                  <c:v>Other changes</c:v>
                </c:pt>
              </c:strCache>
            </c:strRef>
          </c:tx>
          <c:spPr>
            <a:solidFill>
              <a:schemeClr val="accent1">
                <a:lumMod val="40000"/>
                <a:lumOff val="60000"/>
              </a:schemeClr>
            </a:solidFill>
          </c:spPr>
          <c:invertIfNegative val="0"/>
          <c:cat>
            <c:multiLvlStrRef>
              <c:f>('UC (2013)'!$AV$474:$AX$475,'UC (2013)'!$AV$478:$AX$481,'UC (2013)'!$AV$484:$AX$485,'UC (2013)'!$AV$488:$AX$491)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(2013)'!$BC$474:$BC$475,'UC (2013)'!$BC$478:$BC$481,'UC (2013)'!$BC$484:$BC$485,'UC (2013)'!$BC$488:$BC$491)</c:f>
              <c:numCache>
                <c:formatCode>"£"#,##0</c:formatCode>
                <c:ptCount val="12"/>
                <c:pt idx="0">
                  <c:v>-271.52368164061949</c:v>
                </c:pt>
                <c:pt idx="1">
                  <c:v>-336.56201171875</c:v>
                </c:pt>
                <c:pt idx="2">
                  <c:v>-269.173828125</c:v>
                </c:pt>
                <c:pt idx="3">
                  <c:v>-365.8125</c:v>
                </c:pt>
                <c:pt idx="4">
                  <c:v>-294.01904296875</c:v>
                </c:pt>
                <c:pt idx="5">
                  <c:v>-380.38745117188051</c:v>
                </c:pt>
                <c:pt idx="6">
                  <c:v>-373.90185546874261</c:v>
                </c:pt>
                <c:pt idx="7">
                  <c:v>-426.21777343750722</c:v>
                </c:pt>
                <c:pt idx="8">
                  <c:v>-418.38793945312852</c:v>
                </c:pt>
                <c:pt idx="9">
                  <c:v>-401.85424804687881</c:v>
                </c:pt>
                <c:pt idx="10">
                  <c:v>-418.88793945312852</c:v>
                </c:pt>
                <c:pt idx="11">
                  <c:v>-471.71728515625</c:v>
                </c:pt>
              </c:numCache>
            </c:numRef>
          </c:val>
          <c:extLst>
            <c:ext xmlns:c16="http://schemas.microsoft.com/office/drawing/2014/chart" uri="{C3380CC4-5D6E-409C-BE32-E72D297353CC}">
              <c16:uniqueId val="{00000001-50B0-4E80-99A3-BFC504995FDB}"/>
            </c:ext>
          </c:extLst>
        </c:ser>
        <c:ser>
          <c:idx val="0"/>
          <c:order val="2"/>
          <c:tx>
            <c:strRef>
              <c:f>'UC (2013)'!$BA$3</c:f>
              <c:strCache>
                <c:ptCount val="1"/>
                <c:pt idx="0">
                  <c:v>2-child limit</c:v>
                </c:pt>
              </c:strCache>
            </c:strRef>
          </c:tx>
          <c:spPr>
            <a:solidFill>
              <a:schemeClr val="accent2"/>
            </a:solidFill>
          </c:spPr>
          <c:invertIfNegative val="0"/>
          <c:cat>
            <c:multiLvlStrRef>
              <c:f>('UC (2013)'!$AV$474:$AX$475,'UC (2013)'!$AV$478:$AX$481,'UC (2013)'!$AV$484:$AX$485,'UC (2013)'!$AV$488:$AX$491)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(2013)'!$BA$474:$BA$475,'UC (2013)'!$BA$478:$BA$481,'UC (2013)'!$BA$484:$BA$485,'UC (2013)'!$BA$488:$BA$491)</c:f>
              <c:numCache>
                <c:formatCode>"£"#,##0</c:formatCode>
                <c:ptCount val="12"/>
                <c:pt idx="0">
                  <c:v>-11.71337890625</c:v>
                </c:pt>
                <c:pt idx="1">
                  <c:v>-91.4619140625</c:v>
                </c:pt>
                <c:pt idx="2">
                  <c:v>-6.6123046874999867</c:v>
                </c:pt>
                <c:pt idx="3">
                  <c:v>-159.83154296875</c:v>
                </c:pt>
                <c:pt idx="4">
                  <c:v>-72.208984375</c:v>
                </c:pt>
                <c:pt idx="5">
                  <c:v>-184.447265625</c:v>
                </c:pt>
                <c:pt idx="6">
                  <c:v>-125.6787109375</c:v>
                </c:pt>
                <c:pt idx="7">
                  <c:v>-86.76513671874271</c:v>
                </c:pt>
                <c:pt idx="8">
                  <c:v>-234.99609375</c:v>
                </c:pt>
                <c:pt idx="9">
                  <c:v>-94.484619140621362</c:v>
                </c:pt>
                <c:pt idx="10">
                  <c:v>-224.50756835937139</c:v>
                </c:pt>
                <c:pt idx="11">
                  <c:v>-151.08203125</c:v>
                </c:pt>
              </c:numCache>
            </c:numRef>
          </c:val>
          <c:extLst>
            <c:ext xmlns:c16="http://schemas.microsoft.com/office/drawing/2014/chart" uri="{C3380CC4-5D6E-409C-BE32-E72D297353CC}">
              <c16:uniqueId val="{00000002-50B0-4E80-99A3-BFC504995FDB}"/>
            </c:ext>
          </c:extLst>
        </c:ser>
        <c:dLbls>
          <c:showLegendKey val="0"/>
          <c:showVal val="0"/>
          <c:showCatName val="0"/>
          <c:showSerName val="0"/>
          <c:showPercent val="0"/>
          <c:showBubbleSize val="0"/>
        </c:dLbls>
        <c:gapWidth val="150"/>
        <c:overlap val="100"/>
        <c:axId val="-931345808"/>
        <c:axId val="-931342240"/>
      </c:barChart>
      <c:catAx>
        <c:axId val="-931345808"/>
        <c:scaling>
          <c:orientation val="minMax"/>
        </c:scaling>
        <c:delete val="0"/>
        <c:axPos val="b"/>
        <c:numFmt formatCode="General" sourceLinked="1"/>
        <c:majorTickMark val="out"/>
        <c:minorTickMark val="none"/>
        <c:tickLblPos val="high"/>
        <c:crossAx val="-931342240"/>
        <c:crosses val="autoZero"/>
        <c:auto val="1"/>
        <c:lblAlgn val="ctr"/>
        <c:lblOffset val="100"/>
        <c:noMultiLvlLbl val="0"/>
      </c:catAx>
      <c:valAx>
        <c:axId val="-931342240"/>
        <c:scaling>
          <c:orientation val="minMax"/>
        </c:scaling>
        <c:delete val="0"/>
        <c:axPos val="l"/>
        <c:majorGridlines/>
        <c:numFmt formatCode="&quot;£&quot;#,##0" sourceLinked="1"/>
        <c:majorTickMark val="out"/>
        <c:minorTickMark val="none"/>
        <c:tickLblPos val="nextTo"/>
        <c:crossAx val="-931345808"/>
        <c:crosses val="autoZero"/>
        <c:crossBetween val="between"/>
      </c:valAx>
    </c:plotArea>
    <c:legend>
      <c:legendPos val="b"/>
      <c:layout>
        <c:manualLayout>
          <c:xMode val="edge"/>
          <c:yMode val="edge"/>
          <c:x val="0.13448487278374099"/>
          <c:y val="0.72445497280992499"/>
          <c:w val="0.292561557417572"/>
          <c:h val="0.24112459900845701"/>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'UC (2013)'!$AF$3</c:f>
              <c:strCache>
                <c:ptCount val="1"/>
                <c:pt idx="0">
                  <c:v>RPI to CPI</c:v>
                </c:pt>
              </c:strCache>
            </c:strRef>
          </c:tx>
          <c:spPr>
            <a:pattFill prst="ltHorz">
              <a:fgClr>
                <a:srgbClr val="7030A0"/>
              </a:fgClr>
              <a:bgClr>
                <a:schemeClr val="bg1"/>
              </a:bgClr>
            </a:patt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(2013)'!$AF$474:$AF$475,'UC (2013)'!$AF$478:$AF$481,'UC (2013)'!$AF$484:$AF$485,'UC (2013)'!$AF$488:$AF$491)</c:f>
              <c:numCache>
                <c:formatCode>"£"#,##0</c:formatCode>
                <c:ptCount val="12"/>
                <c:pt idx="0">
                  <c:v>-996.39453125</c:v>
                </c:pt>
                <c:pt idx="1">
                  <c:v>-1241.6982421875</c:v>
                </c:pt>
                <c:pt idx="2">
                  <c:v>-903.0566406249992</c:v>
                </c:pt>
                <c:pt idx="3">
                  <c:v>-1186.8740234375</c:v>
                </c:pt>
                <c:pt idx="4">
                  <c:v>-860.1728515625</c:v>
                </c:pt>
                <c:pt idx="5">
                  <c:v>-1340.076171875</c:v>
                </c:pt>
                <c:pt idx="6">
                  <c:v>-884.3691406249992</c:v>
                </c:pt>
                <c:pt idx="7">
                  <c:v>-1145.9765625</c:v>
                </c:pt>
                <c:pt idx="8">
                  <c:v>-979.615234375</c:v>
                </c:pt>
                <c:pt idx="9">
                  <c:v>-1107.36328125</c:v>
                </c:pt>
                <c:pt idx="10">
                  <c:v>-909.599609375</c:v>
                </c:pt>
                <c:pt idx="11">
                  <c:v>-1319.0546875</c:v>
                </c:pt>
              </c:numCache>
            </c:numRef>
          </c:val>
          <c:extLst>
            <c:ext xmlns:c16="http://schemas.microsoft.com/office/drawing/2014/chart" uri="{C3380CC4-5D6E-409C-BE32-E72D297353CC}">
              <c16:uniqueId val="{00000000-FD6B-47A6-AC90-326D4EFA6172}"/>
            </c:ext>
          </c:extLst>
        </c:ser>
        <c:ser>
          <c:idx val="1"/>
          <c:order val="1"/>
          <c:tx>
            <c:strRef>
              <c:f>'UC (2013)'!$AG$3</c:f>
              <c:strCache>
                <c:ptCount val="1"/>
                <c:pt idx="0">
                  <c:v>Ben freeze</c:v>
                </c:pt>
              </c:strCache>
            </c:strRef>
          </c:tx>
          <c:spPr>
            <a:solidFill>
              <a:schemeClr val="accent1">
                <a:lumMod val="60000"/>
                <a:lumOff val="40000"/>
              </a:schemeClr>
            </a:solid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(2013)'!$AG$474:$AG$475,'UC (2013)'!$AG$478:$AG$481,'UC (2013)'!$AG$484:$AG$485,'UC (2013)'!$AG$488:$AG$491)</c:f>
              <c:numCache>
                <c:formatCode>"£"#,##0</c:formatCode>
                <c:ptCount val="12"/>
                <c:pt idx="0">
                  <c:v>-416.78027343749937</c:v>
                </c:pt>
                <c:pt idx="1">
                  <c:v>-754.1826171874992</c:v>
                </c:pt>
                <c:pt idx="2">
                  <c:v>-400.73730468749937</c:v>
                </c:pt>
                <c:pt idx="3">
                  <c:v>-890.7802734375</c:v>
                </c:pt>
                <c:pt idx="4">
                  <c:v>-434.0556640625</c:v>
                </c:pt>
                <c:pt idx="5">
                  <c:v>-1242.5009765625</c:v>
                </c:pt>
                <c:pt idx="6">
                  <c:v>-536.55078125</c:v>
                </c:pt>
                <c:pt idx="7">
                  <c:v>-851.5019531249992</c:v>
                </c:pt>
                <c:pt idx="8">
                  <c:v>-571.19921875</c:v>
                </c:pt>
                <c:pt idx="9">
                  <c:v>-764.76171875</c:v>
                </c:pt>
                <c:pt idx="10">
                  <c:v>-560.0429687499992</c:v>
                </c:pt>
                <c:pt idx="11">
                  <c:v>-1012.705078125</c:v>
                </c:pt>
              </c:numCache>
            </c:numRef>
          </c:val>
          <c:extLst>
            <c:ext xmlns:c16="http://schemas.microsoft.com/office/drawing/2014/chart" uri="{C3380CC4-5D6E-409C-BE32-E72D297353CC}">
              <c16:uniqueId val="{00000001-FD6B-47A6-AC90-326D4EFA6172}"/>
            </c:ext>
          </c:extLst>
        </c:ser>
        <c:ser>
          <c:idx val="2"/>
          <c:order val="2"/>
          <c:tx>
            <c:strRef>
              <c:f>'UC (2013)'!$AH$3</c:f>
              <c:strCache>
                <c:ptCount val="1"/>
                <c:pt idx="0">
                  <c:v>Ben changes</c:v>
                </c:pt>
              </c:strCache>
            </c:strRef>
          </c:tx>
          <c:spPr>
            <a:pattFill prst="dkUpDiag">
              <a:fgClr>
                <a:srgbClr val="7030A0"/>
              </a:fgClr>
              <a:bgClr>
                <a:schemeClr val="bg1"/>
              </a:bgClr>
            </a:patt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(2013)'!$AH$474:$AH$475,'UC (2013)'!$AH$478:$AH$481,'UC (2013)'!$AH$484:$AH$485,'UC (2013)'!$AH$488:$AH$491)</c:f>
              <c:numCache>
                <c:formatCode>"£"#,##0</c:formatCode>
                <c:ptCount val="12"/>
                <c:pt idx="0">
                  <c:v>-999.875</c:v>
                </c:pt>
                <c:pt idx="1">
                  <c:v>-1641.1806640625</c:v>
                </c:pt>
                <c:pt idx="2">
                  <c:v>-961.076171875</c:v>
                </c:pt>
                <c:pt idx="3">
                  <c:v>-1647.6435546875</c:v>
                </c:pt>
                <c:pt idx="4">
                  <c:v>-989.25390625</c:v>
                </c:pt>
                <c:pt idx="5">
                  <c:v>-1925.1650390625</c:v>
                </c:pt>
                <c:pt idx="6">
                  <c:v>-1574.4609375</c:v>
                </c:pt>
                <c:pt idx="7">
                  <c:v>-1670.2421875</c:v>
                </c:pt>
                <c:pt idx="8">
                  <c:v>-1927.076171875</c:v>
                </c:pt>
                <c:pt idx="9">
                  <c:v>-1512.228515625</c:v>
                </c:pt>
                <c:pt idx="10">
                  <c:v>-2098.734375</c:v>
                </c:pt>
                <c:pt idx="11">
                  <c:v>-2004.66015625</c:v>
                </c:pt>
              </c:numCache>
            </c:numRef>
          </c:val>
          <c:extLst>
            <c:ext xmlns:c16="http://schemas.microsoft.com/office/drawing/2014/chart" uri="{C3380CC4-5D6E-409C-BE32-E72D297353CC}">
              <c16:uniqueId val="{00000002-FD6B-47A6-AC90-326D4EFA6172}"/>
            </c:ext>
          </c:extLst>
        </c:ser>
        <c:ser>
          <c:idx val="3"/>
          <c:order val="3"/>
          <c:tx>
            <c:strRef>
              <c:f>'UC (2013)'!$AI$3</c:f>
              <c:strCache>
                <c:ptCount val="1"/>
                <c:pt idx="0">
                  <c:v>UC roll-out</c:v>
                </c:pt>
              </c:strCache>
            </c:strRef>
          </c:tx>
          <c:spPr>
            <a:solidFill>
              <a:srgbClr val="7030A0"/>
            </a:solid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(2013)'!$AI$474:$AI$475,'UC (2013)'!$AI$478:$AI$481,'UC (2013)'!$AI$484:$AI$485,'UC (2013)'!$AI$488:$AI$491)</c:f>
              <c:numCache>
                <c:formatCode>"£"#,##0</c:formatCode>
                <c:ptCount val="12"/>
                <c:pt idx="0">
                  <c:v>-766.75854492188057</c:v>
                </c:pt>
                <c:pt idx="1">
                  <c:v>-747.39501953125</c:v>
                </c:pt>
                <c:pt idx="2">
                  <c:v>-785.1660156249992</c:v>
                </c:pt>
                <c:pt idx="3">
                  <c:v>-876.4990234375</c:v>
                </c:pt>
                <c:pt idx="4">
                  <c:v>-498.09497070311949</c:v>
                </c:pt>
                <c:pt idx="5">
                  <c:v>-603.5952148437492</c:v>
                </c:pt>
                <c:pt idx="6">
                  <c:v>-874.50415039062136</c:v>
                </c:pt>
                <c:pt idx="7">
                  <c:v>-765.490234375</c:v>
                </c:pt>
                <c:pt idx="8">
                  <c:v>-1273.2705078125</c:v>
                </c:pt>
                <c:pt idx="9">
                  <c:v>-1051.0712890625</c:v>
                </c:pt>
                <c:pt idx="10">
                  <c:v>-475.642578125</c:v>
                </c:pt>
                <c:pt idx="11">
                  <c:v>-942.7265625</c:v>
                </c:pt>
              </c:numCache>
            </c:numRef>
          </c:val>
          <c:extLst>
            <c:ext xmlns:c16="http://schemas.microsoft.com/office/drawing/2014/chart" uri="{C3380CC4-5D6E-409C-BE32-E72D297353CC}">
              <c16:uniqueId val="{00000003-FD6B-47A6-AC90-326D4EFA6172}"/>
            </c:ext>
          </c:extLst>
        </c:ser>
        <c:ser>
          <c:idx val="4"/>
          <c:order val="4"/>
          <c:tx>
            <c:strRef>
              <c:f>'UC (2013)'!$AJ$3</c:f>
              <c:strCache>
                <c:ptCount val="1"/>
                <c:pt idx="0">
                  <c:v>Tax</c:v>
                </c:pt>
              </c:strCache>
            </c:strRef>
          </c:tx>
          <c:spPr>
            <a:solidFill>
              <a:srgbClr val="FFFF00"/>
            </a:solid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(2013)'!$AJ$474:$AJ$475,'UC (2013)'!$AJ$478:$AJ$481,'UC (2013)'!$AJ$484:$AJ$485,'UC (2013)'!$AJ$488:$AJ$491)</c:f>
              <c:numCache>
                <c:formatCode>"£"#,##0</c:formatCode>
                <c:ptCount val="12"/>
                <c:pt idx="0">
                  <c:v>-20.1962890625</c:v>
                </c:pt>
                <c:pt idx="1">
                  <c:v>-57.755859375</c:v>
                </c:pt>
                <c:pt idx="2">
                  <c:v>-15.0927734375</c:v>
                </c:pt>
                <c:pt idx="3">
                  <c:v>-103.2001953125</c:v>
                </c:pt>
                <c:pt idx="4">
                  <c:v>-23.47802734375</c:v>
                </c:pt>
                <c:pt idx="5">
                  <c:v>-40.501708984369543</c:v>
                </c:pt>
                <c:pt idx="6">
                  <c:v>338.51440429687142</c:v>
                </c:pt>
                <c:pt idx="7">
                  <c:v>141.79931640625</c:v>
                </c:pt>
                <c:pt idx="8">
                  <c:v>350.47338867187852</c:v>
                </c:pt>
                <c:pt idx="9">
                  <c:v>144.0959472656196</c:v>
                </c:pt>
                <c:pt idx="10">
                  <c:v>325.72534179687852</c:v>
                </c:pt>
                <c:pt idx="11">
                  <c:v>142.33740234375</c:v>
                </c:pt>
              </c:numCache>
            </c:numRef>
          </c:val>
          <c:extLst>
            <c:ext xmlns:c16="http://schemas.microsoft.com/office/drawing/2014/chart" uri="{C3380CC4-5D6E-409C-BE32-E72D297353CC}">
              <c16:uniqueId val="{00000004-FD6B-47A6-AC90-326D4EFA6172}"/>
            </c:ext>
          </c:extLst>
        </c:ser>
        <c:ser>
          <c:idx val="5"/>
          <c:order val="5"/>
          <c:tx>
            <c:strRef>
              <c:f>'UC (2013)'!$AK$3</c:f>
              <c:strCache>
                <c:ptCount val="1"/>
                <c:pt idx="0">
                  <c:v>NLW</c:v>
                </c:pt>
              </c:strCache>
            </c:strRef>
          </c:tx>
          <c:spPr>
            <a:solidFill>
              <a:schemeClr val="accent2"/>
            </a:solidFill>
            <a:ln>
              <a:solidFill>
                <a:schemeClr val="accent1"/>
              </a:solidFill>
            </a:ln>
          </c:spPr>
          <c:invertIfNegative val="0"/>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(2013)'!$AK$474:$AK$475,'UC (2013)'!$AK$478:$AK$481,'UC (2013)'!$AK$484:$AK$485,'UC (2013)'!$AK$488:$AK$491)</c:f>
              <c:numCache>
                <c:formatCode>"£"#,##0</c:formatCode>
                <c:ptCount val="12"/>
                <c:pt idx="0">
                  <c:v>-22.290771484369539</c:v>
                </c:pt>
                <c:pt idx="1">
                  <c:v>-39.54150390625</c:v>
                </c:pt>
                <c:pt idx="2">
                  <c:v>-18.62890625</c:v>
                </c:pt>
                <c:pt idx="3">
                  <c:v>-91.155761718749829</c:v>
                </c:pt>
                <c:pt idx="4">
                  <c:v>-21.94287109376091</c:v>
                </c:pt>
                <c:pt idx="5">
                  <c:v>-7.3686523437609086</c:v>
                </c:pt>
                <c:pt idx="6">
                  <c:v>267.94775390624937</c:v>
                </c:pt>
                <c:pt idx="7">
                  <c:v>259.92797851562852</c:v>
                </c:pt>
                <c:pt idx="8">
                  <c:v>420.16088867187142</c:v>
                </c:pt>
                <c:pt idx="9">
                  <c:v>310.19799804688012</c:v>
                </c:pt>
                <c:pt idx="10">
                  <c:v>346.36694335937142</c:v>
                </c:pt>
                <c:pt idx="11">
                  <c:v>294.45458984375</c:v>
                </c:pt>
              </c:numCache>
            </c:numRef>
          </c:val>
          <c:extLst>
            <c:ext xmlns:c16="http://schemas.microsoft.com/office/drawing/2014/chart" uri="{C3380CC4-5D6E-409C-BE32-E72D297353CC}">
              <c16:uniqueId val="{00000005-FD6B-47A6-AC90-326D4EFA6172}"/>
            </c:ext>
          </c:extLst>
        </c:ser>
        <c:dLbls>
          <c:showLegendKey val="0"/>
          <c:showVal val="0"/>
          <c:showCatName val="0"/>
          <c:showSerName val="0"/>
          <c:showPercent val="0"/>
          <c:showBubbleSize val="0"/>
        </c:dLbls>
        <c:gapWidth val="150"/>
        <c:overlap val="100"/>
        <c:axId val="-443985456"/>
        <c:axId val="-443983680"/>
      </c:barChart>
      <c:lineChart>
        <c:grouping val="standard"/>
        <c:varyColors val="0"/>
        <c:ser>
          <c:idx val="6"/>
          <c:order val="6"/>
          <c:tx>
            <c:strRef>
              <c:f>'UC (2013)'!$AL$3</c:f>
              <c:strCache>
                <c:ptCount val="1"/>
                <c:pt idx="0">
                  <c:v>Total</c:v>
                </c:pt>
              </c:strCache>
            </c:strRef>
          </c:tx>
          <c:spPr>
            <a:ln>
              <a:solidFill>
                <a:schemeClr val="tx1">
                  <a:lumMod val="75000"/>
                  <a:lumOff val="25000"/>
                </a:schemeClr>
              </a:solidFill>
            </a:ln>
          </c:spPr>
          <c:cat>
            <c:multiLvlStrRef>
              <c:f>('UC (2013)'!$AC$474:$AE$475,'UC (2013)'!$AC$478:$AE$481,'UC (2013)'!$AC$484:$AE$485,'UC (2013)'!$AC$488:$AE$491)</c:f>
              <c:multiLvlStrCache>
                <c:ptCount val="12"/>
                <c:lvl>
                  <c:pt idx="0">
                    <c:v>Men</c:v>
                  </c:pt>
                  <c:pt idx="1">
                    <c:v>Women</c:v>
                  </c:pt>
                  <c:pt idx="2">
                    <c:v>Men</c:v>
                  </c:pt>
                  <c:pt idx="3">
                    <c:v>Women</c:v>
                  </c:pt>
                  <c:pt idx="4">
                    <c:v>Men</c:v>
                  </c:pt>
                  <c:pt idx="5">
                    <c:v>Women</c:v>
                  </c:pt>
                  <c:pt idx="6">
                    <c:v>Men</c:v>
                  </c:pt>
                  <c:pt idx="7">
                    <c:v>Women</c:v>
                  </c:pt>
                  <c:pt idx="8">
                    <c:v>Men</c:v>
                  </c:pt>
                  <c:pt idx="9">
                    <c:v>Women</c:v>
                  </c:pt>
                  <c:pt idx="10">
                    <c:v>Men</c:v>
                  </c:pt>
                  <c:pt idx="11">
                    <c:v>Women</c:v>
                  </c:pt>
                </c:lvl>
                <c:lvl>
                  <c:pt idx="0">
                    <c:v>White</c:v>
                  </c:pt>
                  <c:pt idx="2">
                    <c:v>Asian</c:v>
                  </c:pt>
                  <c:pt idx="4">
                    <c:v>Black</c:v>
                  </c:pt>
                  <c:pt idx="6">
                    <c:v>White</c:v>
                  </c:pt>
                  <c:pt idx="8">
                    <c:v>Asian</c:v>
                  </c:pt>
                  <c:pt idx="10">
                    <c:v>Black</c:v>
                  </c:pt>
                </c:lvl>
                <c:lvl>
                  <c:pt idx="0">
                    <c:v>Not employed</c:v>
                  </c:pt>
                  <c:pt idx="6">
                    <c:v>Employed</c:v>
                  </c:pt>
                </c:lvl>
              </c:multiLvlStrCache>
            </c:multiLvlStrRef>
          </c:cat>
          <c:val>
            <c:numRef>
              <c:f>('UC (2013)'!$AL$474:$AL$475,'UC (2013)'!$AL$478:$AL$481,'UC (2013)'!$AL$484:$AL$485,'UC (2013)'!$AL$488:$AL$491)</c:f>
              <c:numCache>
                <c:formatCode>"£"#,##0</c:formatCode>
                <c:ptCount val="12"/>
                <c:pt idx="0">
                  <c:v>-3222.29541015625</c:v>
                </c:pt>
                <c:pt idx="1">
                  <c:v>-4481.75390625</c:v>
                </c:pt>
                <c:pt idx="2">
                  <c:v>-3083.7578125</c:v>
                </c:pt>
                <c:pt idx="3">
                  <c:v>-4796.15283203125</c:v>
                </c:pt>
                <c:pt idx="4">
                  <c:v>-2826.99829101563</c:v>
                </c:pt>
                <c:pt idx="5">
                  <c:v>-5159.2077636718814</c:v>
                </c:pt>
                <c:pt idx="6">
                  <c:v>-3263.4228515625</c:v>
                </c:pt>
                <c:pt idx="7">
                  <c:v>-4031.4836425781218</c:v>
                </c:pt>
                <c:pt idx="8">
                  <c:v>-3980.5268554687441</c:v>
                </c:pt>
                <c:pt idx="9">
                  <c:v>-3981.130859375</c:v>
                </c:pt>
                <c:pt idx="10">
                  <c:v>-3371.92724609375</c:v>
                </c:pt>
                <c:pt idx="11">
                  <c:v>-4842.3544921875</c:v>
                </c:pt>
              </c:numCache>
            </c:numRef>
          </c:val>
          <c:smooth val="0"/>
          <c:extLst>
            <c:ext xmlns:c16="http://schemas.microsoft.com/office/drawing/2014/chart" uri="{C3380CC4-5D6E-409C-BE32-E72D297353CC}">
              <c16:uniqueId val="{00000006-FD6B-47A6-AC90-326D4EFA6172}"/>
            </c:ext>
          </c:extLst>
        </c:ser>
        <c:dLbls>
          <c:showLegendKey val="0"/>
          <c:showVal val="0"/>
          <c:showCatName val="0"/>
          <c:showSerName val="0"/>
          <c:showPercent val="0"/>
          <c:showBubbleSize val="0"/>
        </c:dLbls>
        <c:marker val="1"/>
        <c:smooth val="0"/>
        <c:axId val="-443985456"/>
        <c:axId val="-443983680"/>
      </c:lineChart>
      <c:catAx>
        <c:axId val="-443985456"/>
        <c:scaling>
          <c:orientation val="minMax"/>
        </c:scaling>
        <c:delete val="0"/>
        <c:axPos val="b"/>
        <c:numFmt formatCode="General" sourceLinked="1"/>
        <c:majorTickMark val="out"/>
        <c:minorTickMark val="none"/>
        <c:tickLblPos val="high"/>
        <c:crossAx val="-443983680"/>
        <c:crosses val="autoZero"/>
        <c:auto val="1"/>
        <c:lblAlgn val="ctr"/>
        <c:lblOffset val="100"/>
        <c:noMultiLvlLbl val="0"/>
      </c:catAx>
      <c:valAx>
        <c:axId val="-443983680"/>
        <c:scaling>
          <c:orientation val="minMax"/>
        </c:scaling>
        <c:delete val="0"/>
        <c:axPos val="l"/>
        <c:majorGridlines/>
        <c:numFmt formatCode="&quot;£&quot;#,##0" sourceLinked="1"/>
        <c:majorTickMark val="out"/>
        <c:minorTickMark val="none"/>
        <c:tickLblPos val="nextTo"/>
        <c:crossAx val="-443985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B294A-8650-449F-9134-622EBF4E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Stephenson</dc:creator>
  <cp:keywords/>
  <dc:description/>
  <cp:lastModifiedBy>Mary-Ann Stephenson</cp:lastModifiedBy>
  <cp:revision>3</cp:revision>
  <dcterms:created xsi:type="dcterms:W3CDTF">2017-11-22T11:56:00Z</dcterms:created>
  <dcterms:modified xsi:type="dcterms:W3CDTF">2017-11-22T12:07:00Z</dcterms:modified>
</cp:coreProperties>
</file>